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087FA" w14:textId="77777777" w:rsidR="00116DC1" w:rsidRDefault="00116DC1" w:rsidP="00C71E59">
      <w:pPr>
        <w:rPr>
          <w:rFonts w:ascii="Arial" w:hAnsi="Arial" w:cs="Arial"/>
          <w:b/>
          <w:sz w:val="34"/>
          <w:szCs w:val="34"/>
        </w:rPr>
      </w:pPr>
    </w:p>
    <w:p w14:paraId="421D5883" w14:textId="4D8DE535" w:rsidR="00FD4951" w:rsidRPr="00C47B1B" w:rsidRDefault="00FD4951" w:rsidP="00C71E59">
      <w:pPr>
        <w:rPr>
          <w:rFonts w:ascii="Times New Roman" w:hAnsi="Times New Roman"/>
          <w:b/>
          <w:sz w:val="34"/>
          <w:szCs w:val="34"/>
        </w:rPr>
      </w:pPr>
      <w:r w:rsidRPr="00C47B1B">
        <w:rPr>
          <w:rFonts w:ascii="Times New Roman" w:hAnsi="Times New Roman"/>
          <w:b/>
          <w:sz w:val="34"/>
          <w:szCs w:val="34"/>
        </w:rPr>
        <w:t>FERC ICA Oil Tariff</w:t>
      </w:r>
      <w:r w:rsidR="000D6094">
        <w:rPr>
          <w:rFonts w:ascii="Times New Roman" w:hAnsi="Times New Roman"/>
          <w:b/>
          <w:sz w:val="34"/>
          <w:szCs w:val="34"/>
        </w:rPr>
        <w:tab/>
      </w:r>
      <w:r w:rsidR="000D6094">
        <w:rPr>
          <w:rFonts w:ascii="Times New Roman" w:hAnsi="Times New Roman"/>
          <w:b/>
          <w:sz w:val="34"/>
          <w:szCs w:val="34"/>
        </w:rPr>
        <w:tab/>
      </w:r>
      <w:r w:rsidR="000D6094">
        <w:rPr>
          <w:rFonts w:ascii="Times New Roman" w:hAnsi="Times New Roman"/>
          <w:b/>
          <w:sz w:val="34"/>
          <w:szCs w:val="34"/>
        </w:rPr>
        <w:tab/>
      </w:r>
      <w:r w:rsidR="000D6094">
        <w:rPr>
          <w:rFonts w:ascii="Times New Roman" w:hAnsi="Times New Roman"/>
          <w:b/>
          <w:sz w:val="34"/>
          <w:szCs w:val="34"/>
        </w:rPr>
        <w:tab/>
      </w:r>
      <w:r w:rsidR="000D6094">
        <w:rPr>
          <w:rFonts w:ascii="Times New Roman" w:hAnsi="Times New Roman"/>
          <w:b/>
          <w:sz w:val="34"/>
          <w:szCs w:val="34"/>
        </w:rPr>
        <w:tab/>
        <w:t xml:space="preserve">FERC No. </w:t>
      </w:r>
      <w:r w:rsidR="00C47B1B">
        <w:rPr>
          <w:rFonts w:ascii="Times New Roman" w:hAnsi="Times New Roman"/>
          <w:b/>
          <w:sz w:val="34"/>
          <w:szCs w:val="34"/>
        </w:rPr>
        <w:t>3</w:t>
      </w:r>
      <w:r w:rsidR="000D6094">
        <w:rPr>
          <w:rFonts w:ascii="Times New Roman" w:hAnsi="Times New Roman"/>
          <w:b/>
          <w:sz w:val="34"/>
          <w:szCs w:val="34"/>
        </w:rPr>
        <w:t>.0.0</w:t>
      </w:r>
    </w:p>
    <w:p w14:paraId="11BE2E16" w14:textId="77777777" w:rsidR="000D6094" w:rsidRPr="00DE3F0C" w:rsidRDefault="000D6094" w:rsidP="000D6094">
      <w:pPr>
        <w:spacing w:before="230" w:after="240"/>
        <w:jc w:val="center"/>
        <w:rPr>
          <w:rFonts w:ascii="Times New Roman" w:hAnsi="Times New Roman"/>
          <w:b/>
          <w:sz w:val="44"/>
          <w:highlight w:val="yellow"/>
        </w:rPr>
      </w:pPr>
      <w:bookmarkStart w:id="0" w:name="_DV_M3"/>
      <w:bookmarkEnd w:id="0"/>
    </w:p>
    <w:p w14:paraId="47FACBB9" w14:textId="499AF5AF" w:rsidR="000D6094" w:rsidRPr="00A25BF2" w:rsidRDefault="000D6094" w:rsidP="000D6094">
      <w:pPr>
        <w:spacing w:before="230" w:after="240"/>
        <w:jc w:val="center"/>
        <w:rPr>
          <w:rFonts w:ascii="Times New Roman" w:hAnsi="Times New Roman"/>
          <w:b/>
          <w:bCs/>
          <w:sz w:val="44"/>
          <w:szCs w:val="44"/>
        </w:rPr>
      </w:pPr>
      <w:r>
        <w:rPr>
          <w:rFonts w:ascii="Times New Roman" w:hAnsi="Times New Roman"/>
          <w:b/>
          <w:bCs/>
          <w:sz w:val="44"/>
          <w:szCs w:val="44"/>
        </w:rPr>
        <w:t>HILAND CRUDE, LLC</w:t>
      </w:r>
      <w:r w:rsidR="006A5038">
        <w:rPr>
          <w:rFonts w:ascii="Times New Roman" w:hAnsi="Times New Roman"/>
          <w:b/>
          <w:bCs/>
          <w:sz w:val="44"/>
          <w:szCs w:val="44"/>
        </w:rPr>
        <w:t>,</w:t>
      </w:r>
      <w:r>
        <w:rPr>
          <w:rFonts w:ascii="Times New Roman" w:hAnsi="Times New Roman"/>
          <w:b/>
          <w:bCs/>
          <w:sz w:val="44"/>
          <w:szCs w:val="44"/>
        </w:rPr>
        <w:t xml:space="preserve"> d.b.a. </w:t>
      </w:r>
      <w:r w:rsidRPr="00C50CE7">
        <w:rPr>
          <w:rFonts w:ascii="Times New Roman" w:hAnsi="Times New Roman"/>
          <w:b/>
          <w:bCs/>
          <w:sz w:val="44"/>
          <w:szCs w:val="44"/>
        </w:rPr>
        <w:t>HILAND EXPRESS PIPELINE</w:t>
      </w:r>
    </w:p>
    <w:p w14:paraId="31DECE6A" w14:textId="17E72C6A" w:rsidR="006A262A" w:rsidRPr="00A25BF2" w:rsidRDefault="006A262A" w:rsidP="000D6094">
      <w:pPr>
        <w:keepNext/>
        <w:keepLines/>
        <w:spacing w:after="240"/>
        <w:jc w:val="center"/>
        <w:outlineLvl w:val="0"/>
        <w:rPr>
          <w:rFonts w:ascii="Times New Roman" w:eastAsia="Cambria" w:hAnsi="Times New Roman"/>
          <w:b/>
          <w:smallCaps/>
          <w:sz w:val="24"/>
          <w:szCs w:val="24"/>
          <w:lang w:val="en-CA" w:eastAsia="x-none"/>
        </w:rPr>
      </w:pPr>
      <w:bookmarkStart w:id="1" w:name="RULES_AND_REGULATIONS"/>
      <w:bookmarkEnd w:id="1"/>
      <w:r>
        <w:rPr>
          <w:rFonts w:ascii="Times New Roman" w:eastAsia="Cambria" w:hAnsi="Times New Roman"/>
          <w:b/>
          <w:smallCaps/>
          <w:sz w:val="24"/>
          <w:szCs w:val="24"/>
          <w:lang w:val="en-CA" w:eastAsia="x-none"/>
        </w:rPr>
        <w:t>VOLUME INCENTIVE PROGRAM</w:t>
      </w:r>
    </w:p>
    <w:p w14:paraId="1DDF799F" w14:textId="77777777" w:rsidR="000D6094" w:rsidRPr="00A25BF2" w:rsidRDefault="000D6094" w:rsidP="000D6094">
      <w:pPr>
        <w:spacing w:after="240"/>
        <w:jc w:val="center"/>
        <w:rPr>
          <w:rFonts w:ascii="Times New Roman" w:hAnsi="Times New Roman"/>
          <w:smallCaps/>
          <w:sz w:val="24"/>
          <w:szCs w:val="24"/>
          <w:lang w:eastAsia="x-none"/>
        </w:rPr>
      </w:pPr>
      <w:bookmarkStart w:id="2" w:name="Governing"/>
      <w:bookmarkEnd w:id="2"/>
      <w:r w:rsidRPr="00A25BF2">
        <w:rPr>
          <w:rFonts w:ascii="Times New Roman" w:hAnsi="Times New Roman"/>
          <w:smallCaps/>
          <w:spacing w:val="-2"/>
          <w:sz w:val="24"/>
          <w:szCs w:val="24"/>
          <w:lang w:eastAsia="x-none"/>
        </w:rPr>
        <w:t>GOVERNING THE INTERSTATE TRANSPORTATION OF</w:t>
      </w:r>
    </w:p>
    <w:p w14:paraId="21499351" w14:textId="77777777" w:rsidR="000D6094" w:rsidRPr="00A25BF2" w:rsidRDefault="000D6094" w:rsidP="000D6094">
      <w:pPr>
        <w:keepNext/>
        <w:keepLines/>
        <w:spacing w:after="240"/>
        <w:jc w:val="center"/>
        <w:outlineLvl w:val="0"/>
        <w:rPr>
          <w:rFonts w:ascii="Times New Roman" w:eastAsia="Cambria" w:hAnsi="Times New Roman"/>
          <w:b/>
          <w:smallCaps/>
          <w:sz w:val="24"/>
          <w:szCs w:val="24"/>
          <w:lang w:val="en-CA" w:eastAsia="x-none"/>
        </w:rPr>
      </w:pPr>
      <w:bookmarkStart w:id="3" w:name="TRANSPORTATION_OF_NATURAL_GAS_LIQUIDS"/>
      <w:bookmarkEnd w:id="3"/>
      <w:r w:rsidRPr="00A25BF2">
        <w:rPr>
          <w:rFonts w:ascii="Times New Roman" w:eastAsia="Cambria" w:hAnsi="Times New Roman"/>
          <w:b/>
          <w:smallCaps/>
          <w:sz w:val="24"/>
          <w:szCs w:val="24"/>
          <w:lang w:val="en-CA" w:eastAsia="x-none"/>
        </w:rPr>
        <w:t>NATURAL</w:t>
      </w:r>
      <w:r w:rsidRPr="00A25BF2">
        <w:rPr>
          <w:rFonts w:ascii="Times New Roman" w:eastAsia="Cambria" w:hAnsi="Times New Roman"/>
          <w:b/>
          <w:smallCaps/>
          <w:spacing w:val="-3"/>
          <w:sz w:val="24"/>
          <w:szCs w:val="24"/>
          <w:lang w:val="en-CA" w:eastAsia="x-none"/>
        </w:rPr>
        <w:t xml:space="preserve"> </w:t>
      </w:r>
      <w:r w:rsidRPr="00A25BF2">
        <w:rPr>
          <w:rFonts w:ascii="Times New Roman" w:eastAsia="Cambria" w:hAnsi="Times New Roman"/>
          <w:b/>
          <w:smallCaps/>
          <w:sz w:val="24"/>
          <w:szCs w:val="24"/>
          <w:lang w:val="en-CA" w:eastAsia="x-none"/>
        </w:rPr>
        <w:t>GAS</w:t>
      </w:r>
      <w:r w:rsidRPr="00A25BF2">
        <w:rPr>
          <w:rFonts w:ascii="Times New Roman" w:eastAsia="Cambria" w:hAnsi="Times New Roman"/>
          <w:b/>
          <w:smallCaps/>
          <w:spacing w:val="-3"/>
          <w:sz w:val="24"/>
          <w:szCs w:val="24"/>
          <w:lang w:val="en-CA" w:eastAsia="x-none"/>
        </w:rPr>
        <w:t xml:space="preserve"> </w:t>
      </w:r>
      <w:r w:rsidRPr="00A25BF2">
        <w:rPr>
          <w:rFonts w:ascii="Times New Roman" w:eastAsia="Cambria" w:hAnsi="Times New Roman"/>
          <w:b/>
          <w:smallCaps/>
          <w:spacing w:val="-2"/>
          <w:sz w:val="24"/>
          <w:szCs w:val="24"/>
          <w:lang w:val="en-CA" w:eastAsia="x-none"/>
        </w:rPr>
        <w:t>LIQUIDS</w:t>
      </w:r>
    </w:p>
    <w:p w14:paraId="1EA55A01" w14:textId="77777777" w:rsidR="000D6094" w:rsidRPr="00A25BF2" w:rsidRDefault="000D6094" w:rsidP="000D6094">
      <w:pPr>
        <w:spacing w:after="240"/>
        <w:ind w:left="1756" w:right="1757"/>
        <w:jc w:val="center"/>
        <w:rPr>
          <w:rFonts w:ascii="Times New Roman" w:hAnsi="Times New Roman"/>
          <w:smallCaps/>
          <w:spacing w:val="-5"/>
          <w:sz w:val="24"/>
          <w:szCs w:val="24"/>
          <w:lang w:val="x-none" w:eastAsia="x-none"/>
        </w:rPr>
      </w:pPr>
      <w:r w:rsidRPr="00A25BF2">
        <w:rPr>
          <w:rFonts w:ascii="Times New Roman" w:hAnsi="Times New Roman"/>
          <w:smallCaps/>
          <w:spacing w:val="-5"/>
          <w:sz w:val="24"/>
          <w:szCs w:val="24"/>
          <w:lang w:val="x-none" w:eastAsia="x-none"/>
        </w:rPr>
        <w:t>By</w:t>
      </w:r>
    </w:p>
    <w:p w14:paraId="487A8818" w14:textId="77777777" w:rsidR="000D6094" w:rsidRDefault="000D6094" w:rsidP="000D6094">
      <w:pPr>
        <w:spacing w:after="240"/>
        <w:ind w:left="1756" w:right="1757"/>
        <w:jc w:val="center"/>
        <w:rPr>
          <w:rFonts w:ascii="Times New Roman" w:eastAsia="Cambria" w:hAnsi="Times New Roman"/>
          <w:bCs/>
          <w:caps/>
          <w:spacing w:val="-2"/>
          <w:sz w:val="24"/>
          <w:szCs w:val="24"/>
          <w:lang w:val="en-CA" w:eastAsia="x-none"/>
        </w:rPr>
      </w:pPr>
      <w:r w:rsidRPr="00A25BF2">
        <w:rPr>
          <w:rFonts w:ascii="Times New Roman" w:eastAsia="Cambria" w:hAnsi="Times New Roman"/>
          <w:bCs/>
          <w:caps/>
          <w:spacing w:val="-2"/>
          <w:sz w:val="24"/>
          <w:szCs w:val="24"/>
          <w:lang w:val="en-CA" w:eastAsia="x-none"/>
        </w:rPr>
        <w:t>PIPELINE</w:t>
      </w:r>
    </w:p>
    <w:p w14:paraId="538844FA" w14:textId="2C12A685" w:rsidR="00B75B86" w:rsidRDefault="00B75B86" w:rsidP="00B75B86">
      <w:pPr>
        <w:spacing w:after="240"/>
        <w:rPr>
          <w:rFonts w:ascii="Times New Roman" w:eastAsia="Cambria" w:hAnsi="Times New Roman"/>
          <w:bCs/>
          <w:caps/>
          <w:spacing w:val="-2"/>
          <w:sz w:val="24"/>
          <w:szCs w:val="24"/>
          <w:lang w:val="en-CA" w:eastAsia="x-none"/>
        </w:rPr>
      </w:pPr>
      <w:r>
        <w:rPr>
          <w:rFonts w:ascii="Times New Roman" w:eastAsia="Cambria" w:hAnsi="Times New Roman"/>
          <w:bCs/>
          <w:caps/>
          <w:spacing w:val="-2"/>
          <w:sz w:val="24"/>
          <w:szCs w:val="24"/>
          <w:lang w:val="en-CA" w:eastAsia="x-none"/>
        </w:rPr>
        <w:t>_______________________________________________________________________________</w:t>
      </w:r>
    </w:p>
    <w:p w14:paraId="7AA9DDCB" w14:textId="77777777" w:rsidR="00B75B86" w:rsidRPr="00E53948" w:rsidRDefault="00B75B86" w:rsidP="00B75B86">
      <w:pPr>
        <w:suppressAutoHyphens/>
        <w:jc w:val="both"/>
        <w:rPr>
          <w:rFonts w:ascii="Times New Roman" w:hAnsi="Times New Roman"/>
          <w:sz w:val="24"/>
          <w:szCs w:val="24"/>
        </w:rPr>
      </w:pPr>
      <w:r>
        <w:rPr>
          <w:rFonts w:ascii="Times New Roman" w:hAnsi="Times New Roman"/>
          <w:sz w:val="24"/>
          <w:szCs w:val="24"/>
        </w:rPr>
        <w:t xml:space="preserve">The Carrier will transport Natural Gas Liquids from points in North Dakota to points in North Dakota and Wyoming for interstate transportation.  </w:t>
      </w:r>
      <w:r w:rsidRPr="00E53948">
        <w:rPr>
          <w:rFonts w:ascii="Times New Roman" w:hAnsi="Times New Roman"/>
          <w:sz w:val="24"/>
          <w:szCs w:val="24"/>
        </w:rPr>
        <w:t xml:space="preserve">Rates herein are governed by </w:t>
      </w:r>
      <w:r w:rsidRPr="00E53948">
        <w:rPr>
          <w:rFonts w:ascii="Times New Roman" w:hAnsi="Times New Roman"/>
          <w:b/>
          <w:sz w:val="24"/>
          <w:szCs w:val="24"/>
        </w:rPr>
        <w:t>Rules and Regulations</w:t>
      </w:r>
      <w:r w:rsidRPr="00E53948">
        <w:rPr>
          <w:rFonts w:ascii="Times New Roman" w:hAnsi="Times New Roman"/>
          <w:sz w:val="24"/>
          <w:szCs w:val="24"/>
        </w:rPr>
        <w:t xml:space="preserve"> provided in Hiland Crude, LLC, d.b.a Hiland Express Pipeline, </w:t>
      </w:r>
      <w:r w:rsidRPr="00E53948">
        <w:rPr>
          <w:rFonts w:ascii="Times New Roman" w:hAnsi="Times New Roman"/>
          <w:b/>
          <w:sz w:val="24"/>
          <w:szCs w:val="24"/>
        </w:rPr>
        <w:t xml:space="preserve">FERC Tariff No. </w:t>
      </w:r>
      <w:r w:rsidRPr="00065750">
        <w:rPr>
          <w:rFonts w:ascii="Times New Roman" w:hAnsi="Times New Roman"/>
          <w:b/>
          <w:sz w:val="24"/>
          <w:szCs w:val="24"/>
        </w:rPr>
        <w:t>1.0.0,</w:t>
      </w:r>
      <w:r w:rsidRPr="00065750">
        <w:rPr>
          <w:rFonts w:ascii="Times New Roman" w:hAnsi="Times New Roman"/>
          <w:sz w:val="24"/>
          <w:szCs w:val="24"/>
        </w:rPr>
        <w:t xml:space="preserve"> including supplements thereto and reissues thereof.</w:t>
      </w:r>
      <w:r w:rsidRPr="00E53948">
        <w:rPr>
          <w:rFonts w:ascii="Times New Roman" w:hAnsi="Times New Roman"/>
          <w:sz w:val="24"/>
          <w:szCs w:val="24"/>
        </w:rPr>
        <w:t xml:space="preserve">   </w:t>
      </w:r>
    </w:p>
    <w:p w14:paraId="50F6CAF8" w14:textId="77777777" w:rsidR="009C74CE" w:rsidRPr="00B75B86" w:rsidRDefault="009C74CE" w:rsidP="00C71E59">
      <w:pPr>
        <w:tabs>
          <w:tab w:val="left" w:pos="420"/>
          <w:tab w:val="left" w:pos="798"/>
          <w:tab w:val="left" w:pos="1254"/>
          <w:tab w:val="left" w:pos="1632"/>
          <w:tab w:val="left" w:pos="3780"/>
          <w:tab w:val="center" w:pos="8649"/>
        </w:tabs>
        <w:suppressAutoHyphens/>
        <w:rPr>
          <w:rFonts w:ascii="Times New Roman" w:hAnsi="Times New Roman"/>
          <w:spacing w:val="-2"/>
          <w:sz w:val="24"/>
          <w:szCs w:val="24"/>
        </w:rPr>
      </w:pPr>
    </w:p>
    <w:p w14:paraId="26D5609D" w14:textId="77777777" w:rsidR="0087030B" w:rsidRPr="00B75B86" w:rsidRDefault="0087030B" w:rsidP="00C71E59">
      <w:pPr>
        <w:outlineLvl w:val="0"/>
        <w:rPr>
          <w:rFonts w:ascii="Times New Roman" w:hAnsi="Times New Roman"/>
          <w:sz w:val="24"/>
          <w:szCs w:val="24"/>
        </w:rPr>
      </w:pPr>
      <w:r w:rsidRPr="00B75B86">
        <w:rPr>
          <w:rFonts w:ascii="Times New Roman" w:hAnsi="Times New Roman"/>
          <w:sz w:val="24"/>
          <w:szCs w:val="24"/>
        </w:rPr>
        <w:t>The provisions published herein will, if effective, not result in an effect on the quality of the human environment.</w:t>
      </w:r>
    </w:p>
    <w:p w14:paraId="026CAA4B" w14:textId="77777777" w:rsidR="002B0EEB" w:rsidRPr="00B75B86" w:rsidRDefault="002B0EEB" w:rsidP="00B75B86">
      <w:pPr>
        <w:rPr>
          <w:rFonts w:ascii="Arial" w:hAnsi="Arial" w:cs="Arial"/>
          <w:b/>
          <w:sz w:val="24"/>
          <w:szCs w:val="24"/>
        </w:rPr>
      </w:pPr>
    </w:p>
    <w:p w14:paraId="1DCDB2E0" w14:textId="727B7AA8" w:rsidR="0067701B" w:rsidRPr="00B75B86" w:rsidRDefault="0067701B" w:rsidP="0067701B">
      <w:pPr>
        <w:outlineLvl w:val="0"/>
        <w:rPr>
          <w:rFonts w:ascii="Times New Roman" w:hAnsi="Times New Roman"/>
          <w:sz w:val="24"/>
          <w:szCs w:val="24"/>
        </w:rPr>
      </w:pPr>
      <w:r w:rsidRPr="00B75B86">
        <w:rPr>
          <w:rFonts w:ascii="Times New Roman" w:hAnsi="Times New Roman"/>
          <w:sz w:val="24"/>
          <w:szCs w:val="24"/>
        </w:rPr>
        <w:t>Issued in compliance with 18 C</w:t>
      </w:r>
      <w:r w:rsidR="007379CA">
        <w:rPr>
          <w:rFonts w:ascii="Times New Roman" w:hAnsi="Times New Roman"/>
          <w:sz w:val="24"/>
          <w:szCs w:val="24"/>
        </w:rPr>
        <w:t>.</w:t>
      </w:r>
      <w:r w:rsidRPr="00B75B86">
        <w:rPr>
          <w:rFonts w:ascii="Times New Roman" w:hAnsi="Times New Roman"/>
          <w:sz w:val="24"/>
          <w:szCs w:val="24"/>
        </w:rPr>
        <w:t>F</w:t>
      </w:r>
      <w:r w:rsidR="007379CA">
        <w:rPr>
          <w:rFonts w:ascii="Times New Roman" w:hAnsi="Times New Roman"/>
          <w:sz w:val="24"/>
          <w:szCs w:val="24"/>
        </w:rPr>
        <w:t>.</w:t>
      </w:r>
      <w:r w:rsidRPr="00B75B86">
        <w:rPr>
          <w:rFonts w:ascii="Times New Roman" w:hAnsi="Times New Roman"/>
          <w:sz w:val="24"/>
          <w:szCs w:val="24"/>
        </w:rPr>
        <w:t>R</w:t>
      </w:r>
      <w:r w:rsidR="007379CA">
        <w:rPr>
          <w:rFonts w:ascii="Times New Roman" w:hAnsi="Times New Roman"/>
          <w:sz w:val="24"/>
          <w:szCs w:val="24"/>
        </w:rPr>
        <w:t>.</w:t>
      </w:r>
      <w:r w:rsidRPr="00B75B86">
        <w:rPr>
          <w:rFonts w:ascii="Times New Roman" w:hAnsi="Times New Roman"/>
          <w:sz w:val="24"/>
          <w:szCs w:val="24"/>
        </w:rPr>
        <w:t xml:space="preserve"> § </w:t>
      </w:r>
      <w:r w:rsidR="000D6094" w:rsidRPr="00B75B86">
        <w:rPr>
          <w:rFonts w:ascii="Times New Roman" w:hAnsi="Times New Roman"/>
          <w:sz w:val="24"/>
          <w:szCs w:val="24"/>
        </w:rPr>
        <w:t>34</w:t>
      </w:r>
      <w:r w:rsidR="001A0A98">
        <w:rPr>
          <w:rFonts w:ascii="Times New Roman" w:hAnsi="Times New Roman"/>
          <w:sz w:val="24"/>
          <w:szCs w:val="24"/>
        </w:rPr>
        <w:t>1.3</w:t>
      </w:r>
      <w:r w:rsidR="007379CA">
        <w:rPr>
          <w:rFonts w:ascii="Times New Roman" w:hAnsi="Times New Roman"/>
          <w:sz w:val="24"/>
          <w:szCs w:val="24"/>
        </w:rPr>
        <w:t xml:space="preserve"> (Form of Tariff)</w:t>
      </w:r>
      <w:r w:rsidR="008A35D8">
        <w:rPr>
          <w:rFonts w:ascii="Times New Roman" w:hAnsi="Times New Roman"/>
          <w:sz w:val="24"/>
          <w:szCs w:val="24"/>
        </w:rPr>
        <w:t>.</w:t>
      </w:r>
    </w:p>
    <w:p w14:paraId="7753F49F" w14:textId="77777777" w:rsidR="0087030B" w:rsidRPr="00B75B86" w:rsidRDefault="0087030B" w:rsidP="005670F3">
      <w:pPr>
        <w:tabs>
          <w:tab w:val="left" w:pos="-720"/>
          <w:tab w:val="left" w:pos="4800"/>
        </w:tabs>
        <w:suppressAutoHyphens/>
        <w:ind w:left="-540" w:right="-340"/>
        <w:rPr>
          <w:rFonts w:ascii="Arial" w:hAnsi="Arial" w:cs="Arial"/>
          <w:b/>
          <w:bCs/>
          <w:sz w:val="24"/>
          <w:szCs w:val="24"/>
        </w:rPr>
      </w:pPr>
    </w:p>
    <w:p w14:paraId="61B3A469" w14:textId="77777777" w:rsidR="004948A9" w:rsidRPr="00F8054C" w:rsidRDefault="004948A9" w:rsidP="004948A9">
      <w:pPr>
        <w:spacing w:before="9" w:after="120"/>
        <w:jc w:val="both"/>
        <w:rPr>
          <w:rFonts w:ascii="Cambria" w:hAnsi="Cambria"/>
          <w:sz w:val="11"/>
          <w:szCs w:val="24"/>
          <w:lang w:val="x-none" w:eastAsia="x-none"/>
        </w:rPr>
      </w:pPr>
      <w:r w:rsidRPr="00F8054C">
        <w:rPr>
          <w:rFonts w:ascii="Book Antiqua" w:eastAsia="Cambria" w:hAnsi="Book Antiqua"/>
          <w:b/>
          <w:caps/>
          <w:noProof/>
        </w:rPr>
        <mc:AlternateContent>
          <mc:Choice Requires="wps">
            <w:drawing>
              <wp:anchor distT="0" distB="0" distL="0" distR="0" simplePos="0" relativeHeight="251660288" behindDoc="1" locked="0" layoutInCell="1" allowOverlap="1" wp14:anchorId="6A42A8E8" wp14:editId="1A56CE6F">
                <wp:simplePos x="0" y="0"/>
                <wp:positionH relativeFrom="margin">
                  <wp:align>center</wp:align>
                </wp:positionH>
                <wp:positionV relativeFrom="paragraph">
                  <wp:posOffset>396631</wp:posOffset>
                </wp:positionV>
                <wp:extent cx="5980430" cy="6350"/>
                <wp:effectExtent l="0" t="0" r="0" b="0"/>
                <wp:wrapTopAndBottom/>
                <wp:docPr id="197252222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txbx>
                        <w:txbxContent>
                          <w:p w14:paraId="413E6D76" w14:textId="77777777" w:rsidR="004948A9" w:rsidRDefault="004948A9" w:rsidP="004948A9">
                            <w:pPr>
                              <w:jc w:val="center"/>
                            </w:pPr>
                          </w:p>
                        </w:txbxContent>
                      </wps:txbx>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A42A8E8" id="Freeform 4" o:spid="_x0000_s1026" style="position:absolute;left:0;text-align:left;margin-left:0;margin-top:31.25pt;width:470.9pt;height:.5pt;z-index:-25165619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5980430,6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" adj="-11796480,,5400" path="m5980176,l,,,6096r5980176,l5980176,xe" fillcolor="black" stroked="f">
                <v:stroke joinstyle="miter"/>
                <v:formulas/>
                <v:path arrowok="t" o:connecttype="custom" textboxrect="0,0,5980430,6350"/>
                <v:textbox inset="0,0,0,0">
                  <w:txbxContent>
                    <w:p w14:paraId="413E6D76" w14:textId="77777777" w:rsidR="004948A9" w:rsidRDefault="004948A9" w:rsidP="004948A9">
                      <w:pPr>
                        <w:jc w:val="center"/>
                      </w:pPr>
                    </w:p>
                  </w:txbxContent>
                </v:textbox>
                <w10:wrap type="topAndBottom" anchorx="margin"/>
              </v:shape>
            </w:pict>
          </mc:Fallback>
        </mc:AlternateContent>
      </w:r>
      <w:r w:rsidRPr="00F8054C">
        <w:rPr>
          <w:rFonts w:ascii="Cambria" w:hAnsi="Cambria"/>
          <w:noProof/>
          <w:sz w:val="24"/>
          <w:szCs w:val="24"/>
        </w:rPr>
        <mc:AlternateContent>
          <mc:Choice Requires="wps">
            <w:drawing>
              <wp:anchor distT="0" distB="0" distL="0" distR="0" simplePos="0" relativeHeight="251659264" behindDoc="1" locked="0" layoutInCell="1" allowOverlap="1" wp14:anchorId="0F3A3F5C" wp14:editId="489D6764">
                <wp:simplePos x="0" y="0"/>
                <wp:positionH relativeFrom="page">
                  <wp:posOffset>895985</wp:posOffset>
                </wp:positionH>
                <wp:positionV relativeFrom="paragraph">
                  <wp:posOffset>101600</wp:posOffset>
                </wp:positionV>
                <wp:extent cx="5980430" cy="6350"/>
                <wp:effectExtent l="0" t="0" r="0" b="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000000"/>
                        </a:solidFill>
                      </wps:spPr>
                      <wps:txbx>
                        <w:txbxContent>
                          <w:p w14:paraId="1F9B9D8F" w14:textId="77777777" w:rsidR="004948A9" w:rsidRDefault="004948A9" w:rsidP="004948A9">
                            <w:pPr>
                              <w:jc w:val="center"/>
                            </w:pPr>
                          </w:p>
                        </w:txbxContent>
                      </wps:txbx>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F3A3F5C" id="Freeform 5" o:spid="_x0000_s1027" style="position:absolute;left:0;text-align:left;margin-left:70.55pt;margin-top:8pt;width:470.9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80430,6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" adj="-11796480,,5400" path="m5980176,l,,,6108r5980176,l5980176,xe" fillcolor="black" stroked="f">
                <v:stroke joinstyle="miter"/>
                <v:formulas/>
                <v:path arrowok="t" o:connecttype="custom" textboxrect="0,0,5980430,6350"/>
                <v:textbox inset="0,0,0,0">
                  <w:txbxContent>
                    <w:p w14:paraId="1F9B9D8F" w14:textId="77777777" w:rsidR="004948A9" w:rsidRDefault="004948A9" w:rsidP="004948A9">
                      <w:pPr>
                        <w:jc w:val="center"/>
                      </w:pPr>
                    </w:p>
                  </w:txbxContent>
                </v:textbox>
                <w10:wrap type="topAndBottom" anchorx="page"/>
              </v:shape>
            </w:pict>
          </mc:Fallback>
        </mc:AlternateContent>
      </w:r>
    </w:p>
    <w:tbl>
      <w:tblPr>
        <w:tblW w:w="14356" w:type="dxa"/>
        <w:tblInd w:w="117" w:type="dxa"/>
        <w:tblLayout w:type="fixed"/>
        <w:tblCellMar>
          <w:left w:w="0" w:type="dxa"/>
          <w:right w:w="0" w:type="dxa"/>
        </w:tblCellMar>
        <w:tblLook w:val="01E0" w:firstRow="1" w:lastRow="1" w:firstColumn="1" w:lastColumn="1" w:noHBand="0" w:noVBand="0"/>
      </w:tblPr>
      <w:tblGrid>
        <w:gridCol w:w="4670"/>
        <w:gridCol w:w="4843"/>
        <w:gridCol w:w="4843"/>
      </w:tblGrid>
      <w:tr w:rsidR="004948A9" w:rsidRPr="00F8054C" w14:paraId="2231C441" w14:textId="77777777" w:rsidTr="00DC00CE">
        <w:trPr>
          <w:trHeight w:val="265"/>
        </w:trPr>
        <w:tc>
          <w:tcPr>
            <w:tcW w:w="4670" w:type="dxa"/>
          </w:tcPr>
          <w:p w14:paraId="43B7384C" w14:textId="0E0DC407" w:rsidR="004948A9" w:rsidRPr="00F8054C" w:rsidRDefault="004948A9" w:rsidP="00DC00CE">
            <w:pPr>
              <w:spacing w:line="246" w:lineRule="exact"/>
              <w:rPr>
                <w:rFonts w:ascii="Times New Roman" w:hAnsi="Times New Roman"/>
                <w:b/>
                <w:sz w:val="24"/>
              </w:rPr>
            </w:pPr>
            <w:r w:rsidRPr="00B75B86">
              <w:rPr>
                <w:rFonts w:ascii="Times New Roman" w:hAnsi="Times New Roman"/>
                <w:b/>
                <w:sz w:val="24"/>
                <w:szCs w:val="24"/>
              </w:rPr>
              <w:t xml:space="preserve">ISSUED:  </w:t>
            </w:r>
            <w:r w:rsidRPr="00B75B86">
              <w:rPr>
                <w:rFonts w:ascii="Times New Roman" w:hAnsi="Times New Roman"/>
                <w:b/>
                <w:bCs/>
                <w:sz w:val="24"/>
                <w:szCs w:val="24"/>
              </w:rPr>
              <w:t>March 1</w:t>
            </w:r>
            <w:r w:rsidR="00572401">
              <w:rPr>
                <w:rFonts w:ascii="Times New Roman" w:hAnsi="Times New Roman"/>
                <w:b/>
                <w:bCs/>
                <w:sz w:val="24"/>
                <w:szCs w:val="24"/>
              </w:rPr>
              <w:t>2</w:t>
            </w:r>
            <w:r w:rsidRPr="00B75B86">
              <w:rPr>
                <w:rFonts w:ascii="Times New Roman" w:hAnsi="Times New Roman"/>
                <w:b/>
                <w:bCs/>
                <w:sz w:val="24"/>
                <w:szCs w:val="24"/>
              </w:rPr>
              <w:t>, 2026</w:t>
            </w:r>
          </w:p>
        </w:tc>
        <w:tc>
          <w:tcPr>
            <w:tcW w:w="4843" w:type="dxa"/>
          </w:tcPr>
          <w:p w14:paraId="66F78184" w14:textId="6E91B731" w:rsidR="004948A9" w:rsidRPr="00B75B86" w:rsidRDefault="004948A9" w:rsidP="00DC00CE">
            <w:pPr>
              <w:spacing w:line="246" w:lineRule="exact"/>
              <w:rPr>
                <w:rFonts w:ascii="Times New Roman" w:hAnsi="Times New Roman"/>
                <w:b/>
                <w:sz w:val="24"/>
                <w:szCs w:val="24"/>
              </w:rPr>
            </w:pPr>
            <w:r>
              <w:rPr>
                <w:rFonts w:ascii="Times New Roman" w:hAnsi="Times New Roman"/>
                <w:b/>
                <w:sz w:val="24"/>
                <w:szCs w:val="24"/>
              </w:rPr>
              <w:t xml:space="preserve">                </w:t>
            </w:r>
            <w:r w:rsidRPr="00B75B86">
              <w:rPr>
                <w:rFonts w:ascii="Times New Roman" w:hAnsi="Times New Roman"/>
                <w:b/>
                <w:sz w:val="24"/>
                <w:szCs w:val="24"/>
              </w:rPr>
              <w:t xml:space="preserve">EFFECTIVE:  </w:t>
            </w:r>
            <w:r w:rsidRPr="00B75B86">
              <w:rPr>
                <w:rFonts w:ascii="Times New Roman" w:hAnsi="Times New Roman"/>
                <w:b/>
                <w:bCs/>
                <w:sz w:val="24"/>
                <w:szCs w:val="24"/>
              </w:rPr>
              <w:t>April 15, 2026</w:t>
            </w:r>
          </w:p>
        </w:tc>
        <w:tc>
          <w:tcPr>
            <w:tcW w:w="4843" w:type="dxa"/>
          </w:tcPr>
          <w:p w14:paraId="403090DA" w14:textId="77777777" w:rsidR="004948A9" w:rsidRPr="00B75B86" w:rsidRDefault="004948A9" w:rsidP="00DC00CE">
            <w:pPr>
              <w:spacing w:line="246" w:lineRule="exact"/>
              <w:rPr>
                <w:rFonts w:ascii="Times New Roman" w:hAnsi="Times New Roman"/>
                <w:b/>
                <w:sz w:val="24"/>
                <w:szCs w:val="24"/>
              </w:rPr>
            </w:pPr>
          </w:p>
        </w:tc>
      </w:tr>
    </w:tbl>
    <w:p w14:paraId="5AED56B1" w14:textId="77777777" w:rsidR="004F7A21" w:rsidRDefault="004F7A21" w:rsidP="00C71E59">
      <w:pPr>
        <w:tabs>
          <w:tab w:val="left" w:pos="-720"/>
          <w:tab w:val="left" w:pos="3960"/>
          <w:tab w:val="left" w:pos="4320"/>
          <w:tab w:val="left" w:pos="4560"/>
          <w:tab w:val="left" w:pos="4800"/>
        </w:tabs>
        <w:suppressAutoHyphens/>
        <w:rPr>
          <w:rFonts w:ascii="Times New Roman" w:hAnsi="Times New Roman"/>
          <w:sz w:val="24"/>
          <w:szCs w:val="24"/>
        </w:rPr>
      </w:pPr>
    </w:p>
    <w:p w14:paraId="76275A3F" w14:textId="08B80A9F" w:rsidR="00CE4F0C" w:rsidRPr="00CE4F0C" w:rsidRDefault="00CE4F0C" w:rsidP="00C71E59">
      <w:pPr>
        <w:tabs>
          <w:tab w:val="left" w:pos="-720"/>
          <w:tab w:val="left" w:pos="3960"/>
          <w:tab w:val="left" w:pos="4320"/>
          <w:tab w:val="left" w:pos="4560"/>
          <w:tab w:val="left" w:pos="4800"/>
        </w:tabs>
        <w:suppressAutoHyphens/>
        <w:rPr>
          <w:rFonts w:ascii="Times New Roman" w:hAnsi="Times New Roman"/>
          <w:b/>
          <w:bCs/>
          <w:sz w:val="24"/>
          <w:szCs w:val="24"/>
        </w:rPr>
      </w:pPr>
      <w:r w:rsidRPr="00CE4F0C">
        <w:rPr>
          <w:rFonts w:ascii="Times New Roman" w:hAnsi="Times New Roman"/>
          <w:b/>
          <w:bCs/>
          <w:sz w:val="24"/>
          <w:szCs w:val="24"/>
        </w:rPr>
        <w:t>Issued by:</w:t>
      </w:r>
      <w:r w:rsidRPr="00CE4F0C">
        <w:rPr>
          <w:rFonts w:ascii="Times New Roman" w:hAnsi="Times New Roman"/>
          <w:b/>
          <w:bCs/>
          <w:sz w:val="24"/>
          <w:szCs w:val="24"/>
        </w:rPr>
        <w:tab/>
      </w:r>
      <w:r w:rsidRPr="00CE4F0C">
        <w:rPr>
          <w:rFonts w:ascii="Times New Roman" w:hAnsi="Times New Roman"/>
          <w:b/>
          <w:bCs/>
          <w:sz w:val="24"/>
          <w:szCs w:val="24"/>
        </w:rPr>
        <w:tab/>
      </w:r>
      <w:r w:rsidRPr="00CE4F0C">
        <w:rPr>
          <w:rFonts w:ascii="Times New Roman" w:hAnsi="Times New Roman"/>
          <w:b/>
          <w:bCs/>
          <w:sz w:val="24"/>
          <w:szCs w:val="24"/>
        </w:rPr>
        <w:tab/>
      </w:r>
      <w:r w:rsidRPr="00CE4F0C">
        <w:rPr>
          <w:rFonts w:ascii="Times New Roman" w:hAnsi="Times New Roman"/>
          <w:b/>
          <w:bCs/>
          <w:sz w:val="24"/>
          <w:szCs w:val="24"/>
        </w:rPr>
        <w:tab/>
      </w:r>
      <w:r w:rsidRPr="00CE4F0C">
        <w:rPr>
          <w:rFonts w:ascii="Times New Roman" w:hAnsi="Times New Roman"/>
          <w:b/>
          <w:bCs/>
          <w:sz w:val="24"/>
          <w:szCs w:val="24"/>
        </w:rPr>
        <w:tab/>
      </w:r>
      <w:r w:rsidRPr="00CE4F0C">
        <w:rPr>
          <w:rFonts w:ascii="Times New Roman" w:hAnsi="Times New Roman"/>
          <w:b/>
          <w:bCs/>
          <w:sz w:val="24"/>
          <w:szCs w:val="24"/>
        </w:rPr>
        <w:tab/>
        <w:t>Compiled by:</w:t>
      </w:r>
    </w:p>
    <w:p w14:paraId="052A6682" w14:textId="77777777" w:rsidR="00EE254A" w:rsidRPr="00B75B86" w:rsidRDefault="00EE254A" w:rsidP="00EE254A">
      <w:pPr>
        <w:tabs>
          <w:tab w:val="left" w:pos="-720"/>
          <w:tab w:val="left" w:pos="3960"/>
          <w:tab w:val="left" w:pos="4320"/>
          <w:tab w:val="left" w:pos="4560"/>
          <w:tab w:val="left" w:pos="4800"/>
        </w:tabs>
        <w:suppressAutoHyphens/>
        <w:rPr>
          <w:rFonts w:ascii="Times New Roman" w:hAnsi="Times New Roman"/>
          <w:sz w:val="24"/>
          <w:szCs w:val="24"/>
        </w:rPr>
      </w:pPr>
    </w:p>
    <w:p w14:paraId="46AB3582" w14:textId="177C3095" w:rsidR="00EE254A" w:rsidRPr="00B75B86" w:rsidRDefault="00EE254A" w:rsidP="00EE254A">
      <w:pPr>
        <w:tabs>
          <w:tab w:val="left" w:pos="-720"/>
          <w:tab w:val="left" w:pos="3960"/>
          <w:tab w:val="left" w:pos="4320"/>
          <w:tab w:val="left" w:pos="4560"/>
          <w:tab w:val="left" w:pos="4800"/>
        </w:tabs>
        <w:suppressAutoHyphens/>
        <w:rPr>
          <w:rFonts w:ascii="Times New Roman" w:hAnsi="Times New Roman"/>
          <w:sz w:val="24"/>
          <w:szCs w:val="24"/>
        </w:rPr>
      </w:pPr>
      <w:r w:rsidRPr="00B75B86">
        <w:rPr>
          <w:rFonts w:ascii="Times New Roman" w:hAnsi="Times New Roman"/>
          <w:sz w:val="24"/>
          <w:szCs w:val="24"/>
        </w:rPr>
        <w:t>Thomas C. Dender, President-KM Midstream</w:t>
      </w:r>
      <w:r w:rsidRPr="00B75B86">
        <w:rPr>
          <w:rFonts w:ascii="Times New Roman" w:hAnsi="Times New Roman"/>
          <w:sz w:val="24"/>
          <w:szCs w:val="24"/>
        </w:rPr>
        <w:tab/>
      </w:r>
      <w:r w:rsidRPr="00B75B86">
        <w:rPr>
          <w:rFonts w:ascii="Times New Roman" w:hAnsi="Times New Roman"/>
          <w:sz w:val="24"/>
          <w:szCs w:val="24"/>
        </w:rPr>
        <w:tab/>
      </w:r>
      <w:r w:rsidRPr="00B75B86">
        <w:rPr>
          <w:rFonts w:ascii="Times New Roman" w:hAnsi="Times New Roman"/>
          <w:sz w:val="24"/>
          <w:szCs w:val="24"/>
        </w:rPr>
        <w:tab/>
      </w:r>
      <w:r w:rsidRPr="00B75B86">
        <w:rPr>
          <w:rFonts w:ascii="Times New Roman" w:hAnsi="Times New Roman"/>
          <w:sz w:val="24"/>
          <w:szCs w:val="24"/>
        </w:rPr>
        <w:tab/>
        <w:t>Tina Hardy, Director-Regulatory</w:t>
      </w:r>
      <w:r w:rsidRPr="00B75B86">
        <w:rPr>
          <w:rFonts w:ascii="Times New Roman" w:hAnsi="Times New Roman"/>
          <w:sz w:val="24"/>
          <w:szCs w:val="24"/>
        </w:rPr>
        <w:tab/>
      </w:r>
    </w:p>
    <w:p w14:paraId="3130A37B" w14:textId="12608E29" w:rsidR="00EE254A" w:rsidRPr="00B75B86" w:rsidRDefault="00EE254A" w:rsidP="00EE254A">
      <w:pPr>
        <w:tabs>
          <w:tab w:val="left" w:pos="-720"/>
          <w:tab w:val="left" w:pos="3960"/>
          <w:tab w:val="left" w:pos="4320"/>
          <w:tab w:val="left" w:pos="4560"/>
          <w:tab w:val="left" w:pos="4800"/>
        </w:tabs>
        <w:suppressAutoHyphens/>
        <w:rPr>
          <w:rFonts w:ascii="Times New Roman" w:hAnsi="Times New Roman"/>
          <w:b/>
          <w:bCs/>
          <w:sz w:val="24"/>
          <w:szCs w:val="24"/>
        </w:rPr>
      </w:pPr>
      <w:r w:rsidRPr="00B75B86">
        <w:rPr>
          <w:rFonts w:ascii="Times New Roman" w:hAnsi="Times New Roman"/>
          <w:b/>
          <w:bCs/>
          <w:sz w:val="24"/>
          <w:szCs w:val="24"/>
        </w:rPr>
        <w:t xml:space="preserve">Hiland Crude, LLC, d.b.a </w:t>
      </w:r>
      <w:r w:rsidRPr="00B75B86">
        <w:rPr>
          <w:rFonts w:ascii="Times New Roman" w:hAnsi="Times New Roman"/>
          <w:b/>
          <w:bCs/>
          <w:sz w:val="24"/>
          <w:szCs w:val="24"/>
        </w:rPr>
        <w:tab/>
      </w:r>
      <w:r w:rsidRPr="00B75B86">
        <w:rPr>
          <w:rFonts w:ascii="Times New Roman" w:hAnsi="Times New Roman"/>
          <w:b/>
          <w:bCs/>
          <w:sz w:val="24"/>
          <w:szCs w:val="24"/>
        </w:rPr>
        <w:tab/>
      </w:r>
      <w:r w:rsidRPr="00B75B86">
        <w:rPr>
          <w:rFonts w:ascii="Times New Roman" w:hAnsi="Times New Roman"/>
          <w:b/>
          <w:bCs/>
          <w:sz w:val="24"/>
          <w:szCs w:val="24"/>
        </w:rPr>
        <w:tab/>
      </w:r>
      <w:r w:rsidRPr="00B75B86">
        <w:rPr>
          <w:rFonts w:ascii="Times New Roman" w:hAnsi="Times New Roman"/>
          <w:b/>
          <w:bCs/>
          <w:sz w:val="24"/>
          <w:szCs w:val="24"/>
        </w:rPr>
        <w:tab/>
      </w:r>
      <w:r w:rsidRPr="00B75B86">
        <w:rPr>
          <w:rFonts w:ascii="Times New Roman" w:hAnsi="Times New Roman"/>
          <w:b/>
          <w:bCs/>
          <w:sz w:val="24"/>
          <w:szCs w:val="24"/>
        </w:rPr>
        <w:tab/>
      </w:r>
      <w:r w:rsidRPr="00B75B86">
        <w:rPr>
          <w:rFonts w:ascii="Times New Roman" w:hAnsi="Times New Roman"/>
          <w:b/>
          <w:bCs/>
          <w:sz w:val="24"/>
          <w:szCs w:val="24"/>
        </w:rPr>
        <w:tab/>
        <w:t xml:space="preserve">Hiland Crude, LLC, d.b.a </w:t>
      </w:r>
      <w:r w:rsidRPr="00B75B86">
        <w:rPr>
          <w:rFonts w:ascii="Times New Roman" w:hAnsi="Times New Roman"/>
          <w:b/>
          <w:bCs/>
          <w:sz w:val="24"/>
          <w:szCs w:val="24"/>
        </w:rPr>
        <w:tab/>
      </w:r>
      <w:r w:rsidRPr="00B75B86">
        <w:rPr>
          <w:rFonts w:ascii="Times New Roman" w:hAnsi="Times New Roman"/>
          <w:b/>
          <w:bCs/>
          <w:sz w:val="24"/>
          <w:szCs w:val="24"/>
        </w:rPr>
        <w:tab/>
      </w:r>
    </w:p>
    <w:p w14:paraId="31FC64B3" w14:textId="1D3A800E" w:rsidR="00EE254A" w:rsidRPr="00B75B86" w:rsidRDefault="00EE254A" w:rsidP="00EE254A">
      <w:pPr>
        <w:tabs>
          <w:tab w:val="left" w:pos="-720"/>
          <w:tab w:val="left" w:pos="3960"/>
          <w:tab w:val="left" w:pos="4320"/>
          <w:tab w:val="left" w:pos="4560"/>
          <w:tab w:val="left" w:pos="4800"/>
        </w:tabs>
        <w:suppressAutoHyphens/>
        <w:rPr>
          <w:rFonts w:ascii="Times New Roman" w:hAnsi="Times New Roman"/>
          <w:sz w:val="24"/>
          <w:szCs w:val="24"/>
        </w:rPr>
      </w:pPr>
      <w:r w:rsidRPr="00B75B86">
        <w:rPr>
          <w:rFonts w:ascii="Times New Roman" w:hAnsi="Times New Roman"/>
          <w:b/>
          <w:bCs/>
          <w:sz w:val="24"/>
          <w:szCs w:val="24"/>
        </w:rPr>
        <w:t>Hiland Express Pipeline</w:t>
      </w:r>
      <w:r w:rsidRPr="00B75B86">
        <w:rPr>
          <w:rFonts w:ascii="Times New Roman" w:hAnsi="Times New Roman"/>
          <w:sz w:val="24"/>
          <w:szCs w:val="24"/>
        </w:rPr>
        <w:tab/>
      </w:r>
      <w:r w:rsidRPr="00B75B86">
        <w:rPr>
          <w:rFonts w:ascii="Times New Roman" w:hAnsi="Times New Roman"/>
          <w:sz w:val="24"/>
          <w:szCs w:val="24"/>
        </w:rPr>
        <w:tab/>
      </w:r>
      <w:r w:rsidRPr="00B75B86">
        <w:rPr>
          <w:rFonts w:ascii="Times New Roman" w:hAnsi="Times New Roman"/>
          <w:sz w:val="24"/>
          <w:szCs w:val="24"/>
        </w:rPr>
        <w:tab/>
      </w:r>
      <w:r w:rsidRPr="00B75B86">
        <w:rPr>
          <w:rFonts w:ascii="Times New Roman" w:hAnsi="Times New Roman"/>
          <w:sz w:val="24"/>
          <w:szCs w:val="24"/>
        </w:rPr>
        <w:tab/>
      </w:r>
      <w:r w:rsidRPr="00B75B86">
        <w:rPr>
          <w:rFonts w:ascii="Times New Roman" w:hAnsi="Times New Roman"/>
          <w:sz w:val="24"/>
          <w:szCs w:val="24"/>
        </w:rPr>
        <w:tab/>
      </w:r>
      <w:r w:rsidRPr="00B75B86">
        <w:rPr>
          <w:rFonts w:ascii="Times New Roman" w:hAnsi="Times New Roman"/>
          <w:sz w:val="24"/>
          <w:szCs w:val="24"/>
        </w:rPr>
        <w:tab/>
      </w:r>
      <w:r w:rsidRPr="00B75B86">
        <w:rPr>
          <w:rFonts w:ascii="Times New Roman" w:hAnsi="Times New Roman"/>
          <w:b/>
          <w:bCs/>
          <w:sz w:val="24"/>
          <w:szCs w:val="24"/>
        </w:rPr>
        <w:t>Hiland Express Pipeline</w:t>
      </w:r>
    </w:p>
    <w:p w14:paraId="3AAFF7A7" w14:textId="684F65A9" w:rsidR="00EE254A" w:rsidRPr="00B75B86" w:rsidRDefault="00EE254A" w:rsidP="00EE254A">
      <w:pPr>
        <w:tabs>
          <w:tab w:val="left" w:pos="-720"/>
          <w:tab w:val="left" w:pos="3960"/>
          <w:tab w:val="left" w:pos="4320"/>
          <w:tab w:val="left" w:pos="4560"/>
          <w:tab w:val="left" w:pos="4800"/>
        </w:tabs>
        <w:suppressAutoHyphens/>
        <w:rPr>
          <w:rFonts w:ascii="Times New Roman" w:hAnsi="Times New Roman"/>
          <w:sz w:val="24"/>
          <w:szCs w:val="24"/>
        </w:rPr>
      </w:pPr>
      <w:r w:rsidRPr="00B75B86">
        <w:rPr>
          <w:rFonts w:ascii="Times New Roman" w:hAnsi="Times New Roman"/>
          <w:sz w:val="24"/>
          <w:szCs w:val="24"/>
        </w:rPr>
        <w:t>1001 Louisiana Street, Suite 1000</w:t>
      </w:r>
      <w:r w:rsidRPr="00B75B86">
        <w:rPr>
          <w:rFonts w:ascii="Times New Roman" w:hAnsi="Times New Roman"/>
          <w:sz w:val="24"/>
          <w:szCs w:val="24"/>
        </w:rPr>
        <w:tab/>
      </w:r>
      <w:r w:rsidRPr="00B75B86">
        <w:rPr>
          <w:rFonts w:ascii="Times New Roman" w:hAnsi="Times New Roman"/>
          <w:sz w:val="24"/>
          <w:szCs w:val="24"/>
        </w:rPr>
        <w:tab/>
      </w:r>
      <w:r w:rsidRPr="00B75B86">
        <w:rPr>
          <w:rFonts w:ascii="Times New Roman" w:hAnsi="Times New Roman"/>
          <w:sz w:val="24"/>
          <w:szCs w:val="24"/>
        </w:rPr>
        <w:tab/>
      </w:r>
      <w:r w:rsidRPr="00B75B86">
        <w:rPr>
          <w:rFonts w:ascii="Times New Roman" w:hAnsi="Times New Roman"/>
          <w:sz w:val="24"/>
          <w:szCs w:val="24"/>
        </w:rPr>
        <w:tab/>
      </w:r>
      <w:r w:rsidRPr="00B75B86">
        <w:rPr>
          <w:rFonts w:ascii="Times New Roman" w:hAnsi="Times New Roman"/>
          <w:sz w:val="24"/>
          <w:szCs w:val="24"/>
        </w:rPr>
        <w:tab/>
      </w:r>
      <w:r w:rsidRPr="00B75B86">
        <w:rPr>
          <w:rFonts w:ascii="Times New Roman" w:hAnsi="Times New Roman"/>
          <w:sz w:val="24"/>
          <w:szCs w:val="24"/>
        </w:rPr>
        <w:tab/>
        <w:t>1001 Louisiana Street, Suite 1000</w:t>
      </w:r>
    </w:p>
    <w:p w14:paraId="0BBC863B" w14:textId="48FBF6A9" w:rsidR="00EE254A" w:rsidRPr="00B75B86" w:rsidRDefault="00EE254A" w:rsidP="00EE254A">
      <w:pPr>
        <w:tabs>
          <w:tab w:val="left" w:pos="-720"/>
          <w:tab w:val="left" w:pos="3960"/>
          <w:tab w:val="left" w:pos="4320"/>
          <w:tab w:val="left" w:pos="4560"/>
          <w:tab w:val="left" w:pos="4800"/>
        </w:tabs>
        <w:suppressAutoHyphens/>
        <w:rPr>
          <w:rFonts w:ascii="Times New Roman" w:hAnsi="Times New Roman"/>
          <w:sz w:val="24"/>
          <w:szCs w:val="24"/>
        </w:rPr>
      </w:pPr>
      <w:r w:rsidRPr="00B75B86">
        <w:rPr>
          <w:rFonts w:ascii="Times New Roman" w:hAnsi="Times New Roman"/>
          <w:sz w:val="24"/>
          <w:szCs w:val="24"/>
        </w:rPr>
        <w:t>Houston, TX 77002</w:t>
      </w:r>
      <w:r w:rsidRPr="00B75B86">
        <w:rPr>
          <w:rFonts w:ascii="Times New Roman" w:hAnsi="Times New Roman"/>
          <w:sz w:val="24"/>
          <w:szCs w:val="24"/>
        </w:rPr>
        <w:tab/>
      </w:r>
      <w:r w:rsidRPr="00B75B86">
        <w:rPr>
          <w:rFonts w:ascii="Times New Roman" w:hAnsi="Times New Roman"/>
          <w:sz w:val="24"/>
          <w:szCs w:val="24"/>
        </w:rPr>
        <w:tab/>
      </w:r>
      <w:r w:rsidRPr="00B75B86">
        <w:rPr>
          <w:rFonts w:ascii="Times New Roman" w:hAnsi="Times New Roman"/>
          <w:sz w:val="24"/>
          <w:szCs w:val="24"/>
        </w:rPr>
        <w:tab/>
      </w:r>
      <w:r w:rsidRPr="00B75B86">
        <w:rPr>
          <w:rFonts w:ascii="Times New Roman" w:hAnsi="Times New Roman"/>
          <w:sz w:val="24"/>
          <w:szCs w:val="24"/>
        </w:rPr>
        <w:tab/>
      </w:r>
      <w:r w:rsidRPr="00B75B86">
        <w:rPr>
          <w:rFonts w:ascii="Times New Roman" w:hAnsi="Times New Roman"/>
          <w:sz w:val="24"/>
          <w:szCs w:val="24"/>
        </w:rPr>
        <w:tab/>
      </w:r>
      <w:r w:rsidRPr="00B75B86">
        <w:rPr>
          <w:rFonts w:ascii="Times New Roman" w:hAnsi="Times New Roman"/>
          <w:sz w:val="24"/>
          <w:szCs w:val="24"/>
        </w:rPr>
        <w:tab/>
        <w:t>Houston, TX 770</w:t>
      </w:r>
      <w:r w:rsidR="00702B61">
        <w:rPr>
          <w:rFonts w:ascii="Times New Roman" w:hAnsi="Times New Roman"/>
          <w:sz w:val="24"/>
          <w:szCs w:val="24"/>
        </w:rPr>
        <w:t>02</w:t>
      </w:r>
      <w:r w:rsidRPr="00B75B86">
        <w:rPr>
          <w:rFonts w:ascii="Times New Roman" w:hAnsi="Times New Roman"/>
          <w:sz w:val="24"/>
          <w:szCs w:val="24"/>
        </w:rPr>
        <w:t xml:space="preserve"> </w:t>
      </w:r>
    </w:p>
    <w:p w14:paraId="5A7640A0" w14:textId="77777777" w:rsidR="00EE254A" w:rsidRPr="00B75B86" w:rsidRDefault="00EE254A" w:rsidP="00EE254A">
      <w:pPr>
        <w:tabs>
          <w:tab w:val="left" w:pos="-720"/>
          <w:tab w:val="left" w:pos="3960"/>
          <w:tab w:val="left" w:pos="4320"/>
          <w:tab w:val="left" w:pos="4560"/>
          <w:tab w:val="left" w:pos="4800"/>
        </w:tabs>
        <w:suppressAutoHyphens/>
        <w:rPr>
          <w:rFonts w:ascii="Times New Roman" w:hAnsi="Times New Roman"/>
          <w:sz w:val="24"/>
          <w:szCs w:val="24"/>
        </w:rPr>
      </w:pPr>
      <w:r w:rsidRPr="00B75B86">
        <w:rPr>
          <w:rFonts w:ascii="Times New Roman" w:hAnsi="Times New Roman"/>
          <w:sz w:val="24"/>
          <w:szCs w:val="24"/>
        </w:rPr>
        <w:tab/>
      </w:r>
      <w:r w:rsidRPr="00B75B86">
        <w:rPr>
          <w:rFonts w:ascii="Times New Roman" w:hAnsi="Times New Roman"/>
          <w:sz w:val="24"/>
          <w:szCs w:val="24"/>
        </w:rPr>
        <w:tab/>
      </w:r>
      <w:r w:rsidRPr="00B75B86">
        <w:rPr>
          <w:rFonts w:ascii="Times New Roman" w:hAnsi="Times New Roman"/>
          <w:sz w:val="24"/>
          <w:szCs w:val="24"/>
        </w:rPr>
        <w:tab/>
      </w:r>
      <w:r w:rsidRPr="00B75B86">
        <w:rPr>
          <w:rFonts w:ascii="Times New Roman" w:hAnsi="Times New Roman"/>
          <w:sz w:val="24"/>
          <w:szCs w:val="24"/>
        </w:rPr>
        <w:tab/>
      </w:r>
      <w:r w:rsidRPr="00B75B86">
        <w:rPr>
          <w:rFonts w:ascii="Times New Roman" w:hAnsi="Times New Roman"/>
          <w:sz w:val="24"/>
          <w:szCs w:val="24"/>
        </w:rPr>
        <w:tab/>
        <w:t xml:space="preserve">           </w:t>
      </w:r>
      <w:r w:rsidRPr="00B75B86">
        <w:rPr>
          <w:rFonts w:ascii="Times New Roman" w:hAnsi="Times New Roman"/>
          <w:sz w:val="24"/>
          <w:szCs w:val="24"/>
        </w:rPr>
        <w:tab/>
        <w:t>(205) 325-3668</w:t>
      </w:r>
    </w:p>
    <w:p w14:paraId="059A2700" w14:textId="77777777" w:rsidR="00EE254A" w:rsidRPr="00B75B86" w:rsidRDefault="00EE254A" w:rsidP="00EE254A">
      <w:pPr>
        <w:tabs>
          <w:tab w:val="left" w:pos="-720"/>
          <w:tab w:val="left" w:pos="3960"/>
          <w:tab w:val="left" w:pos="4320"/>
          <w:tab w:val="left" w:pos="4560"/>
          <w:tab w:val="left" w:pos="4800"/>
        </w:tabs>
        <w:suppressAutoHyphens/>
        <w:rPr>
          <w:rFonts w:ascii="Times New Roman" w:hAnsi="Times New Roman"/>
          <w:sz w:val="24"/>
          <w:szCs w:val="24"/>
        </w:rPr>
      </w:pPr>
      <w:r w:rsidRPr="00B75B86">
        <w:rPr>
          <w:rFonts w:ascii="Times New Roman" w:hAnsi="Times New Roman"/>
          <w:sz w:val="24"/>
          <w:szCs w:val="24"/>
        </w:rPr>
        <w:tab/>
      </w:r>
      <w:r w:rsidRPr="00B75B86">
        <w:rPr>
          <w:rFonts w:ascii="Times New Roman" w:hAnsi="Times New Roman"/>
          <w:sz w:val="24"/>
          <w:szCs w:val="24"/>
        </w:rPr>
        <w:tab/>
      </w:r>
      <w:r w:rsidRPr="00B75B86">
        <w:rPr>
          <w:rFonts w:ascii="Times New Roman" w:hAnsi="Times New Roman"/>
          <w:sz w:val="24"/>
          <w:szCs w:val="24"/>
        </w:rPr>
        <w:tab/>
      </w:r>
      <w:r w:rsidRPr="00B75B86">
        <w:rPr>
          <w:rFonts w:ascii="Times New Roman" w:hAnsi="Times New Roman"/>
          <w:sz w:val="24"/>
          <w:szCs w:val="24"/>
        </w:rPr>
        <w:tab/>
      </w:r>
      <w:r w:rsidRPr="00B75B86">
        <w:rPr>
          <w:rFonts w:ascii="Times New Roman" w:hAnsi="Times New Roman"/>
          <w:sz w:val="24"/>
          <w:szCs w:val="24"/>
        </w:rPr>
        <w:tab/>
        <w:t xml:space="preserve">           </w:t>
      </w:r>
      <w:r w:rsidRPr="00B75B86">
        <w:rPr>
          <w:rFonts w:ascii="Times New Roman" w:hAnsi="Times New Roman"/>
          <w:sz w:val="24"/>
          <w:szCs w:val="24"/>
        </w:rPr>
        <w:tab/>
      </w:r>
      <w:hyperlink r:id="rId6" w:history="1">
        <w:r w:rsidRPr="00B75B86">
          <w:rPr>
            <w:rStyle w:val="Hyperlink"/>
            <w:rFonts w:ascii="Times New Roman" w:hAnsi="Times New Roman"/>
            <w:sz w:val="24"/>
            <w:szCs w:val="24"/>
          </w:rPr>
          <w:t>Tina_hardy@kindermorgan.com</w:t>
        </w:r>
      </w:hyperlink>
    </w:p>
    <w:p w14:paraId="5E23BC1C" w14:textId="77777777" w:rsidR="004F7A21" w:rsidRDefault="004F7A21" w:rsidP="00C71E59">
      <w:pPr>
        <w:tabs>
          <w:tab w:val="left" w:pos="-720"/>
          <w:tab w:val="left" w:pos="3960"/>
          <w:tab w:val="left" w:pos="4320"/>
          <w:tab w:val="left" w:pos="4560"/>
          <w:tab w:val="left" w:pos="4800"/>
        </w:tabs>
        <w:suppressAutoHyphens/>
        <w:rPr>
          <w:rFonts w:ascii="Times New Roman" w:hAnsi="Times New Roman"/>
          <w:sz w:val="28"/>
          <w:szCs w:val="28"/>
        </w:rPr>
      </w:pPr>
    </w:p>
    <w:p w14:paraId="2B3560F6" w14:textId="77777777" w:rsidR="00227E3D" w:rsidRDefault="00227E3D" w:rsidP="00C71E59">
      <w:pPr>
        <w:tabs>
          <w:tab w:val="left" w:pos="-720"/>
          <w:tab w:val="left" w:pos="3960"/>
          <w:tab w:val="left" w:pos="4320"/>
          <w:tab w:val="left" w:pos="4560"/>
          <w:tab w:val="left" w:pos="4800"/>
        </w:tabs>
        <w:suppressAutoHyphens/>
        <w:rPr>
          <w:rFonts w:ascii="Times New Roman" w:hAnsi="Times New Roman"/>
          <w:sz w:val="28"/>
          <w:szCs w:val="28"/>
        </w:rPr>
      </w:pPr>
    </w:p>
    <w:p w14:paraId="60578F53" w14:textId="77777777" w:rsidR="00227E3D" w:rsidRDefault="00227E3D" w:rsidP="00C71E59">
      <w:pPr>
        <w:tabs>
          <w:tab w:val="left" w:pos="-720"/>
          <w:tab w:val="left" w:pos="3960"/>
          <w:tab w:val="left" w:pos="4320"/>
          <w:tab w:val="left" w:pos="4560"/>
          <w:tab w:val="left" w:pos="4800"/>
        </w:tabs>
        <w:suppressAutoHyphens/>
        <w:rPr>
          <w:rFonts w:ascii="Times New Roman" w:hAnsi="Times New Roman"/>
          <w:sz w:val="28"/>
          <w:szCs w:val="28"/>
        </w:rPr>
      </w:pPr>
    </w:p>
    <w:p w14:paraId="2F54C369" w14:textId="77777777" w:rsidR="00D811A6" w:rsidRDefault="00D811A6" w:rsidP="00EE254A">
      <w:pPr>
        <w:rPr>
          <w:rFonts w:ascii="Times New Roman" w:hAnsi="Times New Roman"/>
          <w:sz w:val="28"/>
          <w:szCs w:val="28"/>
        </w:rPr>
      </w:pPr>
    </w:p>
    <w:p w14:paraId="7BA6A37F" w14:textId="77777777" w:rsidR="00631718" w:rsidRPr="000D6094" w:rsidRDefault="00631718" w:rsidP="00EE254A">
      <w:pPr>
        <w:rPr>
          <w:rFonts w:ascii="Times New Roman" w:hAnsi="Times New Roman"/>
          <w:sz w:val="28"/>
          <w:szCs w:val="28"/>
        </w:rPr>
      </w:pPr>
    </w:p>
    <w:p w14:paraId="73B1B93C" w14:textId="77777777" w:rsidR="006A5038" w:rsidRPr="006A262A" w:rsidRDefault="006A5038" w:rsidP="00EE254A">
      <w:pPr>
        <w:widowControl/>
        <w:tabs>
          <w:tab w:val="left" w:pos="0"/>
          <w:tab w:val="left" w:pos="432"/>
          <w:tab w:val="left" w:pos="720"/>
        </w:tabs>
        <w:suppressAutoHyphens/>
        <w:ind w:right="144"/>
        <w:rPr>
          <w:rFonts w:ascii="Times New Roman" w:hAnsi="Times New Roman"/>
          <w:sz w:val="24"/>
          <w:szCs w:val="24"/>
        </w:rPr>
      </w:pPr>
    </w:p>
    <w:p w14:paraId="2F8609F1" w14:textId="613EE100" w:rsidR="004A1BCD" w:rsidRPr="006A262A" w:rsidRDefault="006A5038" w:rsidP="00EE254A">
      <w:pPr>
        <w:ind w:left="-120"/>
        <w:jc w:val="center"/>
        <w:rPr>
          <w:rFonts w:ascii="Times New Roman" w:hAnsi="Times New Roman"/>
          <w:b/>
          <w:sz w:val="24"/>
          <w:szCs w:val="24"/>
        </w:rPr>
      </w:pPr>
      <w:r>
        <w:rPr>
          <w:rFonts w:ascii="Times New Roman" w:hAnsi="Times New Roman"/>
          <w:b/>
          <w:sz w:val="24"/>
          <w:szCs w:val="24"/>
        </w:rPr>
        <w:t>NATURAL GAS LIQUIDS</w:t>
      </w:r>
    </w:p>
    <w:p w14:paraId="443832F3" w14:textId="01942DB7" w:rsidR="004A1BCD" w:rsidRPr="006A262A" w:rsidRDefault="004A1BCD" w:rsidP="00EE254A">
      <w:pPr>
        <w:tabs>
          <w:tab w:val="left" w:pos="2520"/>
        </w:tabs>
        <w:ind w:left="-120"/>
        <w:jc w:val="center"/>
        <w:rPr>
          <w:rFonts w:ascii="Times New Roman" w:hAnsi="Times New Roman"/>
          <w:b/>
          <w:sz w:val="24"/>
          <w:szCs w:val="24"/>
        </w:rPr>
      </w:pPr>
      <w:r w:rsidRPr="006A262A">
        <w:rPr>
          <w:rFonts w:ascii="Times New Roman" w:hAnsi="Times New Roman"/>
          <w:b/>
          <w:sz w:val="24"/>
          <w:szCs w:val="24"/>
        </w:rPr>
        <w:t>VOLUME INCENTIVE RATE</w:t>
      </w:r>
      <w:r w:rsidR="00DC46A5" w:rsidRPr="006A262A">
        <w:rPr>
          <w:rFonts w:ascii="Times New Roman" w:hAnsi="Times New Roman"/>
          <w:b/>
          <w:sz w:val="24"/>
          <w:szCs w:val="24"/>
        </w:rPr>
        <w:t>S</w:t>
      </w:r>
    </w:p>
    <w:p w14:paraId="3B076A4C" w14:textId="77777777" w:rsidR="00B37F9E" w:rsidRPr="006A262A" w:rsidRDefault="00B37F9E" w:rsidP="004A1BCD">
      <w:pPr>
        <w:tabs>
          <w:tab w:val="left" w:pos="2520"/>
        </w:tabs>
        <w:ind w:left="-120"/>
        <w:rPr>
          <w:rFonts w:ascii="Times New Roman" w:hAnsi="Times New Roman"/>
          <w:b/>
          <w:sz w:val="24"/>
          <w:szCs w:val="24"/>
        </w:rPr>
      </w:pPr>
    </w:p>
    <w:p w14:paraId="2685AD2B" w14:textId="65A74BF6" w:rsidR="00B37F9E" w:rsidRPr="006A262A" w:rsidRDefault="00B37F9E" w:rsidP="00B37F9E">
      <w:pPr>
        <w:ind w:left="-120"/>
        <w:jc w:val="center"/>
        <w:rPr>
          <w:rFonts w:ascii="Times New Roman" w:hAnsi="Times New Roman"/>
          <w:sz w:val="24"/>
          <w:szCs w:val="24"/>
        </w:rPr>
      </w:pPr>
      <w:r w:rsidRPr="006A262A">
        <w:rPr>
          <w:rFonts w:ascii="Times New Roman" w:hAnsi="Times New Roman"/>
          <w:sz w:val="24"/>
          <w:szCs w:val="24"/>
        </w:rPr>
        <w:t xml:space="preserve">For the Transportation of </w:t>
      </w:r>
      <w:r w:rsidR="000D6094" w:rsidRPr="006A262A">
        <w:rPr>
          <w:rFonts w:ascii="Times New Roman" w:hAnsi="Times New Roman"/>
          <w:sz w:val="24"/>
          <w:szCs w:val="24"/>
        </w:rPr>
        <w:t xml:space="preserve">NGLs </w:t>
      </w:r>
      <w:r w:rsidRPr="006A262A">
        <w:rPr>
          <w:rFonts w:ascii="Times New Roman" w:hAnsi="Times New Roman"/>
          <w:sz w:val="24"/>
          <w:szCs w:val="24"/>
        </w:rPr>
        <w:t>by Pipeline</w:t>
      </w:r>
    </w:p>
    <w:p w14:paraId="71511001" w14:textId="77777777" w:rsidR="00B37F9E" w:rsidRPr="006A262A" w:rsidRDefault="00B37F9E" w:rsidP="00B37F9E">
      <w:pPr>
        <w:jc w:val="center"/>
        <w:rPr>
          <w:rFonts w:ascii="Times New Roman" w:hAnsi="Times New Roman"/>
          <w:sz w:val="24"/>
          <w:szCs w:val="24"/>
        </w:rPr>
      </w:pPr>
      <w:r w:rsidRPr="006A262A">
        <w:rPr>
          <w:rFonts w:ascii="Times New Roman" w:hAnsi="Times New Roman"/>
          <w:sz w:val="24"/>
          <w:szCs w:val="24"/>
        </w:rPr>
        <w:t>(Rates in Cents per Barrel of 42 US Gallons)</w:t>
      </w:r>
    </w:p>
    <w:p w14:paraId="106F9868" w14:textId="77777777" w:rsidR="000D6094" w:rsidRPr="006A262A" w:rsidRDefault="000D6094" w:rsidP="00B37F9E">
      <w:pPr>
        <w:ind w:left="360"/>
        <w:rPr>
          <w:rFonts w:ascii="Times New Roman" w:hAnsi="Times New Roman"/>
          <w:b/>
          <w:sz w:val="24"/>
          <w:szCs w:val="24"/>
        </w:rPr>
      </w:pPr>
    </w:p>
    <w:p w14:paraId="0AB22DEA" w14:textId="42DB3274" w:rsidR="000D6094" w:rsidRPr="00631718" w:rsidRDefault="00B37F9E" w:rsidP="00631718">
      <w:pPr>
        <w:ind w:left="360"/>
        <w:rPr>
          <w:rFonts w:ascii="Times New Roman" w:hAnsi="Times New Roman"/>
          <w:b/>
          <w:sz w:val="24"/>
          <w:szCs w:val="24"/>
        </w:rPr>
      </w:pPr>
      <w:r w:rsidRPr="006A262A">
        <w:rPr>
          <w:rFonts w:ascii="Times New Roman" w:hAnsi="Times New Roman"/>
          <w:b/>
          <w:sz w:val="24"/>
          <w:szCs w:val="24"/>
        </w:rPr>
        <w:t>VOLUME</w:t>
      </w:r>
      <w:r w:rsidR="000D6094" w:rsidRPr="006A262A">
        <w:rPr>
          <w:rFonts w:ascii="Times New Roman" w:hAnsi="Times New Roman"/>
          <w:b/>
          <w:sz w:val="24"/>
          <w:szCs w:val="24"/>
        </w:rPr>
        <w:t xml:space="preserve"> INCENTIVE</w:t>
      </w:r>
      <w:r w:rsidRPr="006A262A">
        <w:rPr>
          <w:rFonts w:ascii="Times New Roman" w:hAnsi="Times New Roman"/>
          <w:b/>
          <w:sz w:val="24"/>
          <w:szCs w:val="24"/>
        </w:rPr>
        <w:t xml:space="preserve"> RATE:</w:t>
      </w:r>
    </w:p>
    <w:p w14:paraId="70981B3C" w14:textId="77777777" w:rsidR="000D6094" w:rsidRPr="006A262A" w:rsidRDefault="000D6094" w:rsidP="000D6094">
      <w:pPr>
        <w:ind w:left="-120"/>
        <w:rPr>
          <w:rFonts w:ascii="Times New Roman" w:hAnsi="Times New Roman"/>
          <w:sz w:val="24"/>
          <w:szCs w:val="24"/>
        </w:rPr>
      </w:pPr>
    </w:p>
    <w:tbl>
      <w:tblPr>
        <w:tblW w:w="0" w:type="auto"/>
        <w:jc w:val="center"/>
        <w:tblLayout w:type="fixed"/>
        <w:tblLook w:val="0000" w:firstRow="0" w:lastRow="0" w:firstColumn="0" w:lastColumn="0" w:noHBand="0" w:noVBand="0"/>
      </w:tblPr>
      <w:tblGrid>
        <w:gridCol w:w="2875"/>
        <w:gridCol w:w="3720"/>
        <w:gridCol w:w="2068"/>
      </w:tblGrid>
      <w:tr w:rsidR="000D6094" w:rsidRPr="006A262A" w14:paraId="070807DE" w14:textId="77777777" w:rsidTr="00136330">
        <w:trPr>
          <w:jc w:val="center"/>
        </w:trPr>
        <w:tc>
          <w:tcPr>
            <w:tcW w:w="2875" w:type="dxa"/>
            <w:tcBorders>
              <w:top w:val="single" w:sz="4" w:space="0" w:color="auto"/>
              <w:left w:val="single" w:sz="4" w:space="0" w:color="auto"/>
            </w:tcBorders>
            <w:vAlign w:val="center"/>
          </w:tcPr>
          <w:p w14:paraId="1659B39A" w14:textId="6F90853B" w:rsidR="000D6094" w:rsidRPr="006A262A" w:rsidRDefault="000D6094" w:rsidP="00136330">
            <w:pPr>
              <w:ind w:left="-120"/>
              <w:jc w:val="center"/>
              <w:rPr>
                <w:rFonts w:ascii="Times New Roman" w:hAnsi="Times New Roman"/>
                <w:sz w:val="24"/>
                <w:szCs w:val="24"/>
              </w:rPr>
            </w:pPr>
            <w:r w:rsidRPr="006A262A">
              <w:rPr>
                <w:rFonts w:ascii="Times New Roman" w:hAnsi="Times New Roman"/>
                <w:sz w:val="24"/>
                <w:szCs w:val="24"/>
              </w:rPr>
              <w:t>Origin</w:t>
            </w:r>
            <w:r w:rsidR="006A262A">
              <w:rPr>
                <w:rFonts w:ascii="Times New Roman" w:hAnsi="Times New Roman"/>
                <w:sz w:val="24"/>
                <w:szCs w:val="24"/>
              </w:rPr>
              <w:t xml:space="preserve"> Point</w:t>
            </w:r>
          </w:p>
        </w:tc>
        <w:tc>
          <w:tcPr>
            <w:tcW w:w="3720" w:type="dxa"/>
            <w:tcBorders>
              <w:top w:val="single" w:sz="4" w:space="0" w:color="auto"/>
              <w:left w:val="single" w:sz="4" w:space="0" w:color="auto"/>
              <w:right w:val="single" w:sz="4" w:space="0" w:color="auto"/>
            </w:tcBorders>
            <w:vAlign w:val="center"/>
          </w:tcPr>
          <w:p w14:paraId="0A4BD684" w14:textId="77777777" w:rsidR="000D6094" w:rsidRPr="006A262A" w:rsidRDefault="000D6094" w:rsidP="00136330">
            <w:pPr>
              <w:ind w:left="-120"/>
              <w:jc w:val="center"/>
              <w:rPr>
                <w:rFonts w:ascii="Times New Roman" w:hAnsi="Times New Roman"/>
                <w:sz w:val="24"/>
                <w:szCs w:val="24"/>
              </w:rPr>
            </w:pPr>
            <w:r w:rsidRPr="006A262A">
              <w:rPr>
                <w:rFonts w:ascii="Times New Roman" w:hAnsi="Times New Roman"/>
                <w:sz w:val="24"/>
                <w:szCs w:val="24"/>
              </w:rPr>
              <w:t>Destination</w:t>
            </w:r>
          </w:p>
        </w:tc>
        <w:tc>
          <w:tcPr>
            <w:tcW w:w="2068" w:type="dxa"/>
            <w:tcBorders>
              <w:top w:val="single" w:sz="4" w:space="0" w:color="auto"/>
              <w:left w:val="single" w:sz="4" w:space="0" w:color="auto"/>
              <w:bottom w:val="single" w:sz="4" w:space="0" w:color="auto"/>
              <w:right w:val="single" w:sz="4" w:space="0" w:color="auto"/>
            </w:tcBorders>
          </w:tcPr>
          <w:p w14:paraId="1A7148F1" w14:textId="77777777" w:rsidR="000D6094" w:rsidRPr="006A262A" w:rsidRDefault="000D6094" w:rsidP="00136330">
            <w:pPr>
              <w:ind w:left="-120"/>
              <w:jc w:val="center"/>
              <w:rPr>
                <w:rFonts w:ascii="Times New Roman" w:hAnsi="Times New Roman"/>
                <w:sz w:val="24"/>
                <w:szCs w:val="24"/>
              </w:rPr>
            </w:pPr>
            <w:r w:rsidRPr="006A262A">
              <w:rPr>
                <w:rFonts w:ascii="Times New Roman" w:hAnsi="Times New Roman"/>
                <w:sz w:val="24"/>
                <w:szCs w:val="24"/>
              </w:rPr>
              <w:t>Rate</w:t>
            </w:r>
          </w:p>
        </w:tc>
      </w:tr>
      <w:tr w:rsidR="000D6094" w:rsidRPr="006A262A" w14:paraId="437E23B4" w14:textId="77777777" w:rsidTr="00136330">
        <w:trPr>
          <w:trHeight w:val="720"/>
          <w:jc w:val="center"/>
        </w:trPr>
        <w:tc>
          <w:tcPr>
            <w:tcW w:w="2875" w:type="dxa"/>
            <w:tcBorders>
              <w:top w:val="double" w:sz="4" w:space="0" w:color="auto"/>
              <w:left w:val="single" w:sz="4" w:space="0" w:color="auto"/>
              <w:bottom w:val="double" w:sz="4" w:space="0" w:color="auto"/>
            </w:tcBorders>
            <w:vAlign w:val="center"/>
          </w:tcPr>
          <w:p w14:paraId="5A22799B" w14:textId="77777777" w:rsidR="000D6094" w:rsidRPr="006A262A" w:rsidRDefault="000D6094" w:rsidP="00136330">
            <w:pPr>
              <w:ind w:left="-120"/>
              <w:jc w:val="center"/>
              <w:rPr>
                <w:rFonts w:ascii="Times New Roman" w:hAnsi="Times New Roman"/>
                <w:sz w:val="24"/>
                <w:szCs w:val="24"/>
              </w:rPr>
            </w:pPr>
            <w:r w:rsidRPr="006A262A">
              <w:rPr>
                <w:rFonts w:ascii="Times New Roman" w:hAnsi="Times New Roman"/>
                <w:sz w:val="24"/>
                <w:szCs w:val="24"/>
              </w:rPr>
              <w:t>Roosevelt Gas Plant,</w:t>
            </w:r>
          </w:p>
          <w:p w14:paraId="77A024B8" w14:textId="77777777" w:rsidR="000D6094" w:rsidRPr="006A262A" w:rsidRDefault="000D6094" w:rsidP="00136330">
            <w:pPr>
              <w:ind w:left="-120"/>
              <w:jc w:val="center"/>
              <w:rPr>
                <w:rFonts w:ascii="Times New Roman" w:hAnsi="Times New Roman"/>
                <w:sz w:val="24"/>
                <w:szCs w:val="24"/>
              </w:rPr>
            </w:pPr>
            <w:r w:rsidRPr="006A262A">
              <w:rPr>
                <w:rFonts w:ascii="Times New Roman" w:hAnsi="Times New Roman"/>
                <w:sz w:val="24"/>
                <w:szCs w:val="24"/>
              </w:rPr>
              <w:t>McKenzie County, ND</w:t>
            </w:r>
          </w:p>
        </w:tc>
        <w:tc>
          <w:tcPr>
            <w:tcW w:w="3720" w:type="dxa"/>
            <w:tcBorders>
              <w:top w:val="double" w:sz="4" w:space="0" w:color="auto"/>
              <w:left w:val="single" w:sz="4" w:space="0" w:color="auto"/>
              <w:bottom w:val="double" w:sz="4" w:space="0" w:color="auto"/>
              <w:right w:val="single" w:sz="4" w:space="0" w:color="auto"/>
            </w:tcBorders>
            <w:vAlign w:val="center"/>
          </w:tcPr>
          <w:p w14:paraId="55AD98E2" w14:textId="77777777" w:rsidR="000D6094" w:rsidRPr="006A262A" w:rsidRDefault="000D6094" w:rsidP="00136330">
            <w:pPr>
              <w:ind w:left="-120"/>
              <w:jc w:val="center"/>
              <w:rPr>
                <w:rFonts w:ascii="Times New Roman" w:hAnsi="Times New Roman"/>
                <w:sz w:val="24"/>
                <w:szCs w:val="24"/>
              </w:rPr>
            </w:pPr>
            <w:r w:rsidRPr="006A262A">
              <w:rPr>
                <w:rFonts w:ascii="Times New Roman" w:hAnsi="Times New Roman"/>
                <w:sz w:val="24"/>
                <w:szCs w:val="24"/>
              </w:rPr>
              <w:t>Watford City Fractionation, McKenzie County, ND</w:t>
            </w:r>
          </w:p>
        </w:tc>
        <w:tc>
          <w:tcPr>
            <w:tcW w:w="2068" w:type="dxa"/>
            <w:tcBorders>
              <w:top w:val="double" w:sz="4" w:space="0" w:color="auto"/>
              <w:left w:val="single" w:sz="4" w:space="0" w:color="auto"/>
              <w:bottom w:val="double" w:sz="4" w:space="0" w:color="auto"/>
              <w:right w:val="single" w:sz="4" w:space="0" w:color="auto"/>
            </w:tcBorders>
            <w:vAlign w:val="center"/>
          </w:tcPr>
          <w:p w14:paraId="7FCF019F" w14:textId="39FB610B" w:rsidR="000D6094" w:rsidRPr="006A262A" w:rsidRDefault="008F5808" w:rsidP="00136330">
            <w:pPr>
              <w:ind w:left="-131"/>
              <w:jc w:val="center"/>
              <w:rPr>
                <w:rFonts w:ascii="Times New Roman" w:hAnsi="Times New Roman"/>
                <w:sz w:val="24"/>
                <w:szCs w:val="24"/>
              </w:rPr>
            </w:pPr>
            <w:r>
              <w:rPr>
                <w:rFonts w:ascii="Times New Roman" w:hAnsi="Times New Roman"/>
                <w:sz w:val="24"/>
                <w:szCs w:val="24"/>
              </w:rPr>
              <w:t>32.18</w:t>
            </w:r>
          </w:p>
        </w:tc>
      </w:tr>
      <w:tr w:rsidR="000D6094" w:rsidRPr="006A262A" w14:paraId="029419FA" w14:textId="77777777" w:rsidTr="00136330">
        <w:trPr>
          <w:trHeight w:val="720"/>
          <w:jc w:val="center"/>
        </w:trPr>
        <w:tc>
          <w:tcPr>
            <w:tcW w:w="2875" w:type="dxa"/>
            <w:tcBorders>
              <w:top w:val="double" w:sz="4" w:space="0" w:color="auto"/>
              <w:left w:val="single" w:sz="4" w:space="0" w:color="auto"/>
              <w:bottom w:val="double" w:sz="4" w:space="0" w:color="auto"/>
            </w:tcBorders>
            <w:vAlign w:val="center"/>
          </w:tcPr>
          <w:p w14:paraId="592C7C71" w14:textId="77777777" w:rsidR="000D6094" w:rsidRPr="006A262A" w:rsidRDefault="000D6094" w:rsidP="00136330">
            <w:pPr>
              <w:ind w:left="-120"/>
              <w:jc w:val="center"/>
              <w:rPr>
                <w:rFonts w:ascii="Times New Roman" w:hAnsi="Times New Roman"/>
                <w:sz w:val="24"/>
                <w:szCs w:val="24"/>
              </w:rPr>
            </w:pPr>
            <w:r w:rsidRPr="006A262A">
              <w:rPr>
                <w:rFonts w:ascii="Times New Roman" w:hAnsi="Times New Roman"/>
                <w:sz w:val="24"/>
                <w:szCs w:val="24"/>
              </w:rPr>
              <w:t>Roosevelt Gas Plant,</w:t>
            </w:r>
          </w:p>
          <w:p w14:paraId="1AAEE2E7" w14:textId="77777777" w:rsidR="000D6094" w:rsidRPr="006A262A" w:rsidRDefault="000D6094" w:rsidP="00136330">
            <w:pPr>
              <w:ind w:left="-120"/>
              <w:jc w:val="center"/>
              <w:rPr>
                <w:rFonts w:ascii="Times New Roman" w:hAnsi="Times New Roman"/>
                <w:sz w:val="24"/>
                <w:szCs w:val="24"/>
              </w:rPr>
            </w:pPr>
            <w:r w:rsidRPr="006A262A">
              <w:rPr>
                <w:rFonts w:ascii="Times New Roman" w:hAnsi="Times New Roman"/>
                <w:sz w:val="24"/>
                <w:szCs w:val="24"/>
              </w:rPr>
              <w:t>McKenzie County, ND</w:t>
            </w:r>
          </w:p>
        </w:tc>
        <w:tc>
          <w:tcPr>
            <w:tcW w:w="3720" w:type="dxa"/>
            <w:tcBorders>
              <w:top w:val="double" w:sz="4" w:space="0" w:color="auto"/>
              <w:left w:val="single" w:sz="4" w:space="0" w:color="auto"/>
              <w:bottom w:val="double" w:sz="4" w:space="0" w:color="auto"/>
              <w:right w:val="single" w:sz="4" w:space="0" w:color="auto"/>
            </w:tcBorders>
            <w:vAlign w:val="center"/>
          </w:tcPr>
          <w:p w14:paraId="42438851" w14:textId="77777777" w:rsidR="000D6094" w:rsidRPr="006A262A" w:rsidRDefault="000D6094" w:rsidP="00136330">
            <w:pPr>
              <w:ind w:left="-120"/>
              <w:jc w:val="center"/>
              <w:rPr>
                <w:rFonts w:ascii="Times New Roman" w:hAnsi="Times New Roman"/>
                <w:sz w:val="24"/>
                <w:szCs w:val="24"/>
              </w:rPr>
            </w:pPr>
            <w:r w:rsidRPr="006A262A">
              <w:rPr>
                <w:rFonts w:ascii="Times New Roman" w:hAnsi="Times New Roman"/>
                <w:sz w:val="24"/>
                <w:szCs w:val="24"/>
              </w:rPr>
              <w:t>Dore, McKenzie County, ND</w:t>
            </w:r>
          </w:p>
        </w:tc>
        <w:tc>
          <w:tcPr>
            <w:tcW w:w="2068" w:type="dxa"/>
            <w:tcBorders>
              <w:top w:val="double" w:sz="4" w:space="0" w:color="auto"/>
              <w:left w:val="single" w:sz="4" w:space="0" w:color="auto"/>
              <w:bottom w:val="double" w:sz="4" w:space="0" w:color="auto"/>
              <w:right w:val="single" w:sz="4" w:space="0" w:color="auto"/>
            </w:tcBorders>
            <w:vAlign w:val="center"/>
          </w:tcPr>
          <w:p w14:paraId="33D16172" w14:textId="4CD93A1F" w:rsidR="000D6094" w:rsidRPr="006A262A" w:rsidRDefault="008F5808" w:rsidP="00136330">
            <w:pPr>
              <w:ind w:left="-131"/>
              <w:jc w:val="center"/>
              <w:rPr>
                <w:rFonts w:ascii="Times New Roman" w:hAnsi="Times New Roman"/>
                <w:sz w:val="24"/>
                <w:szCs w:val="24"/>
              </w:rPr>
            </w:pPr>
            <w:r>
              <w:rPr>
                <w:rFonts w:ascii="Times New Roman" w:hAnsi="Times New Roman"/>
                <w:sz w:val="24"/>
                <w:szCs w:val="24"/>
              </w:rPr>
              <w:t>42.64</w:t>
            </w:r>
          </w:p>
        </w:tc>
      </w:tr>
      <w:tr w:rsidR="000D6094" w:rsidRPr="006A262A" w14:paraId="4BDF6D17" w14:textId="77777777" w:rsidTr="00136330">
        <w:trPr>
          <w:trHeight w:val="720"/>
          <w:jc w:val="center"/>
        </w:trPr>
        <w:tc>
          <w:tcPr>
            <w:tcW w:w="2875" w:type="dxa"/>
            <w:tcBorders>
              <w:top w:val="double" w:sz="4" w:space="0" w:color="auto"/>
              <w:left w:val="single" w:sz="4" w:space="0" w:color="auto"/>
              <w:bottom w:val="double" w:sz="4" w:space="0" w:color="auto"/>
            </w:tcBorders>
            <w:vAlign w:val="center"/>
          </w:tcPr>
          <w:p w14:paraId="06B52AD8" w14:textId="77777777" w:rsidR="000D6094" w:rsidRPr="006A262A" w:rsidRDefault="000D6094" w:rsidP="00136330">
            <w:pPr>
              <w:ind w:left="-120"/>
              <w:jc w:val="center"/>
              <w:rPr>
                <w:rFonts w:ascii="Times New Roman" w:hAnsi="Times New Roman"/>
                <w:sz w:val="24"/>
                <w:szCs w:val="24"/>
              </w:rPr>
            </w:pPr>
            <w:r w:rsidRPr="006A262A">
              <w:rPr>
                <w:rFonts w:ascii="Times New Roman" w:hAnsi="Times New Roman"/>
                <w:sz w:val="24"/>
                <w:szCs w:val="24"/>
              </w:rPr>
              <w:t>Dore, McKenzie County, ND</w:t>
            </w:r>
          </w:p>
        </w:tc>
        <w:tc>
          <w:tcPr>
            <w:tcW w:w="3720" w:type="dxa"/>
            <w:tcBorders>
              <w:top w:val="double" w:sz="4" w:space="0" w:color="auto"/>
              <w:left w:val="single" w:sz="4" w:space="0" w:color="auto"/>
              <w:bottom w:val="double" w:sz="4" w:space="0" w:color="auto"/>
              <w:right w:val="single" w:sz="4" w:space="0" w:color="auto"/>
            </w:tcBorders>
            <w:vAlign w:val="center"/>
          </w:tcPr>
          <w:p w14:paraId="6F395B96" w14:textId="77777777" w:rsidR="000D6094" w:rsidRPr="006A262A" w:rsidRDefault="000D6094" w:rsidP="00136330">
            <w:pPr>
              <w:ind w:left="-120"/>
              <w:jc w:val="center"/>
              <w:rPr>
                <w:rFonts w:ascii="Times New Roman" w:hAnsi="Times New Roman"/>
                <w:sz w:val="24"/>
                <w:szCs w:val="24"/>
              </w:rPr>
            </w:pPr>
            <w:r w:rsidRPr="006A262A">
              <w:rPr>
                <w:rFonts w:ascii="Times New Roman" w:hAnsi="Times New Roman"/>
                <w:sz w:val="24"/>
                <w:szCs w:val="24"/>
              </w:rPr>
              <w:t>Glendo, Platte County, WY</w:t>
            </w:r>
          </w:p>
        </w:tc>
        <w:tc>
          <w:tcPr>
            <w:tcW w:w="2068" w:type="dxa"/>
            <w:tcBorders>
              <w:top w:val="double" w:sz="4" w:space="0" w:color="auto"/>
              <w:left w:val="single" w:sz="4" w:space="0" w:color="auto"/>
              <w:bottom w:val="double" w:sz="4" w:space="0" w:color="auto"/>
              <w:right w:val="single" w:sz="4" w:space="0" w:color="auto"/>
            </w:tcBorders>
            <w:vAlign w:val="center"/>
          </w:tcPr>
          <w:p w14:paraId="067B8664" w14:textId="6A344D34" w:rsidR="000D6094" w:rsidRPr="006A262A" w:rsidRDefault="008F5808" w:rsidP="00136330">
            <w:pPr>
              <w:ind w:left="-131"/>
              <w:jc w:val="center"/>
              <w:rPr>
                <w:rFonts w:ascii="Times New Roman" w:hAnsi="Times New Roman"/>
                <w:sz w:val="24"/>
                <w:szCs w:val="24"/>
              </w:rPr>
            </w:pPr>
            <w:r>
              <w:rPr>
                <w:rFonts w:ascii="Times New Roman" w:hAnsi="Times New Roman"/>
                <w:sz w:val="24"/>
                <w:szCs w:val="24"/>
              </w:rPr>
              <w:t>377.36</w:t>
            </w:r>
          </w:p>
        </w:tc>
      </w:tr>
    </w:tbl>
    <w:p w14:paraId="3167933A" w14:textId="77777777" w:rsidR="00B37F9E" w:rsidRPr="006A262A" w:rsidRDefault="00B37F9E" w:rsidP="00B37F9E">
      <w:pPr>
        <w:widowControl/>
        <w:tabs>
          <w:tab w:val="left" w:pos="0"/>
          <w:tab w:val="left" w:pos="432"/>
          <w:tab w:val="left" w:pos="720"/>
        </w:tabs>
        <w:suppressAutoHyphens/>
        <w:ind w:left="-144" w:right="144"/>
        <w:rPr>
          <w:rFonts w:ascii="Times New Roman" w:hAnsi="Times New Roman"/>
          <w:b/>
          <w:sz w:val="24"/>
          <w:szCs w:val="24"/>
        </w:rPr>
      </w:pPr>
    </w:p>
    <w:p w14:paraId="736B7D10" w14:textId="76AC838E" w:rsidR="006A262A" w:rsidRDefault="006A262A" w:rsidP="00B37F9E">
      <w:pPr>
        <w:widowControl/>
        <w:tabs>
          <w:tab w:val="left" w:pos="0"/>
          <w:tab w:val="left" w:pos="432"/>
          <w:tab w:val="left" w:pos="720"/>
        </w:tabs>
        <w:suppressAutoHyphens/>
        <w:ind w:left="-180" w:right="144"/>
        <w:jc w:val="both"/>
        <w:rPr>
          <w:rFonts w:ascii="Times New Roman" w:hAnsi="Times New Roman"/>
          <w:bCs/>
          <w:sz w:val="24"/>
          <w:szCs w:val="24"/>
        </w:rPr>
      </w:pPr>
      <w:r w:rsidRPr="006A262A">
        <w:rPr>
          <w:rFonts w:ascii="Times New Roman" w:hAnsi="Times New Roman"/>
          <w:bCs/>
          <w:sz w:val="24"/>
          <w:szCs w:val="24"/>
        </w:rPr>
        <w:t xml:space="preserve">(a) Under the Volume Incentive Rate Program set forth </w:t>
      </w:r>
      <w:r w:rsidR="00C47B1B">
        <w:rPr>
          <w:rFonts w:ascii="Times New Roman" w:hAnsi="Times New Roman"/>
          <w:bCs/>
          <w:sz w:val="24"/>
          <w:szCs w:val="24"/>
        </w:rPr>
        <w:t>herein</w:t>
      </w:r>
      <w:r w:rsidRPr="006A262A">
        <w:rPr>
          <w:rFonts w:ascii="Times New Roman" w:hAnsi="Times New Roman"/>
          <w:bCs/>
          <w:sz w:val="24"/>
          <w:szCs w:val="24"/>
        </w:rPr>
        <w:t xml:space="preserve"> (the “Program”), the volume incentive rates will be available on a month-to-month basis</w:t>
      </w:r>
      <w:r w:rsidR="007F78D1">
        <w:rPr>
          <w:rFonts w:ascii="Times New Roman" w:hAnsi="Times New Roman"/>
          <w:bCs/>
          <w:sz w:val="24"/>
          <w:szCs w:val="24"/>
        </w:rPr>
        <w:t xml:space="preserve"> and shall be applied to those qualifying Shippers that nominate and Tender, on a rateable basis </w:t>
      </w:r>
      <w:r w:rsidRPr="006A262A">
        <w:rPr>
          <w:rFonts w:ascii="Times New Roman" w:hAnsi="Times New Roman"/>
          <w:bCs/>
          <w:sz w:val="24"/>
          <w:szCs w:val="24"/>
        </w:rPr>
        <w:t xml:space="preserve">to </w:t>
      </w:r>
      <w:r w:rsidR="007F78D1">
        <w:rPr>
          <w:rFonts w:ascii="Times New Roman" w:hAnsi="Times New Roman"/>
          <w:bCs/>
          <w:sz w:val="24"/>
          <w:szCs w:val="24"/>
        </w:rPr>
        <w:t xml:space="preserve">one or a combination of </w:t>
      </w:r>
      <w:r w:rsidRPr="006A262A">
        <w:rPr>
          <w:rFonts w:ascii="Times New Roman" w:hAnsi="Times New Roman"/>
          <w:bCs/>
          <w:sz w:val="24"/>
          <w:szCs w:val="24"/>
        </w:rPr>
        <w:t xml:space="preserve">the </w:t>
      </w:r>
      <w:r w:rsidR="00631718">
        <w:rPr>
          <w:rFonts w:ascii="Times New Roman" w:hAnsi="Times New Roman"/>
          <w:bCs/>
          <w:sz w:val="24"/>
          <w:szCs w:val="24"/>
        </w:rPr>
        <w:t>Origin Points</w:t>
      </w:r>
      <w:r w:rsidR="007F78D1">
        <w:rPr>
          <w:rFonts w:ascii="Times New Roman" w:hAnsi="Times New Roman"/>
          <w:bCs/>
          <w:sz w:val="24"/>
          <w:szCs w:val="24"/>
        </w:rPr>
        <w:t xml:space="preserve"> identified above,</w:t>
      </w:r>
      <w:r w:rsidRPr="006A262A">
        <w:rPr>
          <w:rFonts w:ascii="Times New Roman" w:hAnsi="Times New Roman"/>
          <w:bCs/>
          <w:sz w:val="24"/>
          <w:szCs w:val="24"/>
        </w:rPr>
        <w:t xml:space="preserve"> </w:t>
      </w:r>
      <w:r w:rsidR="00BB09EC">
        <w:rPr>
          <w:rFonts w:ascii="Times New Roman" w:hAnsi="Times New Roman"/>
          <w:bCs/>
          <w:sz w:val="24"/>
          <w:szCs w:val="24"/>
        </w:rPr>
        <w:t xml:space="preserve">a minimum of </w:t>
      </w:r>
      <w:r>
        <w:rPr>
          <w:rFonts w:ascii="Times New Roman" w:hAnsi="Times New Roman"/>
          <w:bCs/>
          <w:sz w:val="24"/>
          <w:szCs w:val="24"/>
        </w:rPr>
        <w:t>fourteen</w:t>
      </w:r>
      <w:r w:rsidRPr="006A262A">
        <w:rPr>
          <w:rFonts w:ascii="Times New Roman" w:hAnsi="Times New Roman"/>
          <w:bCs/>
          <w:sz w:val="24"/>
          <w:szCs w:val="24"/>
        </w:rPr>
        <w:t xml:space="preserve"> thousand (1</w:t>
      </w:r>
      <w:r>
        <w:rPr>
          <w:rFonts w:ascii="Times New Roman" w:hAnsi="Times New Roman"/>
          <w:bCs/>
          <w:sz w:val="24"/>
          <w:szCs w:val="24"/>
        </w:rPr>
        <w:t>4</w:t>
      </w:r>
      <w:r w:rsidRPr="006A262A">
        <w:rPr>
          <w:rFonts w:ascii="Times New Roman" w:hAnsi="Times New Roman"/>
          <w:bCs/>
          <w:sz w:val="24"/>
          <w:szCs w:val="24"/>
        </w:rPr>
        <w:t>,000) Barrels per day</w:t>
      </w:r>
      <w:r w:rsidR="007F78D1">
        <w:rPr>
          <w:rFonts w:ascii="Times New Roman" w:hAnsi="Times New Roman"/>
          <w:bCs/>
          <w:sz w:val="24"/>
          <w:szCs w:val="24"/>
        </w:rPr>
        <w:t>,</w:t>
      </w:r>
      <w:r w:rsidRPr="006A262A">
        <w:rPr>
          <w:rFonts w:ascii="Times New Roman" w:hAnsi="Times New Roman"/>
          <w:bCs/>
          <w:sz w:val="24"/>
          <w:szCs w:val="24"/>
        </w:rPr>
        <w:t xml:space="preserve"> on average</w:t>
      </w:r>
      <w:r w:rsidR="007F78D1">
        <w:rPr>
          <w:rFonts w:ascii="Times New Roman" w:hAnsi="Times New Roman"/>
          <w:bCs/>
          <w:sz w:val="24"/>
          <w:szCs w:val="24"/>
        </w:rPr>
        <w:t>,</w:t>
      </w:r>
      <w:r w:rsidRPr="006A262A">
        <w:rPr>
          <w:rFonts w:ascii="Times New Roman" w:hAnsi="Times New Roman"/>
          <w:bCs/>
          <w:sz w:val="24"/>
          <w:szCs w:val="24"/>
        </w:rPr>
        <w:t xml:space="preserve"> in a given month (</w:t>
      </w:r>
      <w:r w:rsidR="007F78D1">
        <w:rPr>
          <w:rFonts w:ascii="Times New Roman" w:hAnsi="Times New Roman"/>
          <w:bCs/>
          <w:sz w:val="24"/>
          <w:szCs w:val="24"/>
        </w:rPr>
        <w:t xml:space="preserve">with such minimum amount referred to as the </w:t>
      </w:r>
      <w:r w:rsidRPr="006A262A">
        <w:rPr>
          <w:rFonts w:ascii="Times New Roman" w:hAnsi="Times New Roman"/>
          <w:bCs/>
          <w:sz w:val="24"/>
          <w:szCs w:val="24"/>
        </w:rPr>
        <w:t xml:space="preserve">“Qualifying Volume”). This Program will continue in effect until it is cancelled by Carrier in a subsequent tariff filing, which filing shall be made on at least thirty (30) days’ notice. </w:t>
      </w:r>
    </w:p>
    <w:p w14:paraId="3EA424B5" w14:textId="77777777" w:rsidR="006A262A" w:rsidRDefault="006A262A" w:rsidP="00B37F9E">
      <w:pPr>
        <w:widowControl/>
        <w:tabs>
          <w:tab w:val="left" w:pos="0"/>
          <w:tab w:val="left" w:pos="432"/>
          <w:tab w:val="left" w:pos="720"/>
        </w:tabs>
        <w:suppressAutoHyphens/>
        <w:ind w:left="-180" w:right="144"/>
        <w:jc w:val="both"/>
        <w:rPr>
          <w:rFonts w:ascii="Times New Roman" w:hAnsi="Times New Roman"/>
          <w:bCs/>
          <w:sz w:val="24"/>
          <w:szCs w:val="24"/>
        </w:rPr>
      </w:pPr>
    </w:p>
    <w:p w14:paraId="1287BC9B" w14:textId="4A5B6262" w:rsidR="006A262A" w:rsidRDefault="006A262A" w:rsidP="00B37F9E">
      <w:pPr>
        <w:widowControl/>
        <w:tabs>
          <w:tab w:val="left" w:pos="0"/>
          <w:tab w:val="left" w:pos="432"/>
          <w:tab w:val="left" w:pos="720"/>
        </w:tabs>
        <w:suppressAutoHyphens/>
        <w:ind w:left="-180" w:right="144"/>
        <w:jc w:val="both"/>
        <w:rPr>
          <w:rFonts w:ascii="Times New Roman" w:hAnsi="Times New Roman"/>
          <w:bCs/>
          <w:sz w:val="24"/>
          <w:szCs w:val="24"/>
        </w:rPr>
      </w:pPr>
      <w:r w:rsidRPr="006A262A">
        <w:rPr>
          <w:rFonts w:ascii="Times New Roman" w:hAnsi="Times New Roman"/>
          <w:bCs/>
          <w:sz w:val="24"/>
          <w:szCs w:val="24"/>
        </w:rPr>
        <w:t xml:space="preserve">(b) Any Shipper wishing to participate in the Program in a month must notify Carrier, in writing, of its intention to do so for each </w:t>
      </w:r>
      <w:r w:rsidR="007F78D1">
        <w:rPr>
          <w:rFonts w:ascii="Times New Roman" w:hAnsi="Times New Roman"/>
          <w:bCs/>
          <w:sz w:val="24"/>
          <w:szCs w:val="24"/>
        </w:rPr>
        <w:t>such</w:t>
      </w:r>
      <w:r w:rsidRPr="006A262A">
        <w:rPr>
          <w:rFonts w:ascii="Times New Roman" w:hAnsi="Times New Roman"/>
          <w:bCs/>
          <w:sz w:val="24"/>
          <w:szCs w:val="24"/>
        </w:rPr>
        <w:t xml:space="preserve"> month on or before the fifteenth (15th) day of the immediately preceding month (“Notification”). In such Notification, Shipper must specify the Origin Points and the number of Barrels to be Tendered by Shipper at each such Origin Point. </w:t>
      </w:r>
      <w:r w:rsidR="007F78D1">
        <w:rPr>
          <w:rFonts w:ascii="Times New Roman" w:hAnsi="Times New Roman"/>
          <w:bCs/>
          <w:sz w:val="24"/>
          <w:szCs w:val="24"/>
        </w:rPr>
        <w:t xml:space="preserve"> Any Shipper that does not provide the required Notification will not be eligible for the volume incentive rates set forth herein.</w:t>
      </w:r>
    </w:p>
    <w:p w14:paraId="5BCE185B" w14:textId="77777777" w:rsidR="006A262A" w:rsidRDefault="006A262A" w:rsidP="00B37F9E">
      <w:pPr>
        <w:widowControl/>
        <w:tabs>
          <w:tab w:val="left" w:pos="0"/>
          <w:tab w:val="left" w:pos="432"/>
          <w:tab w:val="left" w:pos="720"/>
        </w:tabs>
        <w:suppressAutoHyphens/>
        <w:ind w:left="-180" w:right="144"/>
        <w:jc w:val="both"/>
        <w:rPr>
          <w:rFonts w:ascii="Times New Roman" w:hAnsi="Times New Roman"/>
          <w:bCs/>
          <w:sz w:val="24"/>
          <w:szCs w:val="24"/>
        </w:rPr>
      </w:pPr>
    </w:p>
    <w:p w14:paraId="2B9BFD67" w14:textId="533FDC3D" w:rsidR="006A262A" w:rsidRDefault="006A262A" w:rsidP="00B37F9E">
      <w:pPr>
        <w:widowControl/>
        <w:tabs>
          <w:tab w:val="left" w:pos="0"/>
          <w:tab w:val="left" w:pos="432"/>
          <w:tab w:val="left" w:pos="720"/>
        </w:tabs>
        <w:suppressAutoHyphens/>
        <w:ind w:left="-180" w:right="144"/>
        <w:jc w:val="both"/>
        <w:rPr>
          <w:rFonts w:ascii="Times New Roman" w:hAnsi="Times New Roman"/>
          <w:bCs/>
          <w:sz w:val="24"/>
          <w:szCs w:val="24"/>
        </w:rPr>
      </w:pPr>
      <w:r w:rsidRPr="006A262A">
        <w:rPr>
          <w:rFonts w:ascii="Times New Roman" w:hAnsi="Times New Roman"/>
          <w:bCs/>
          <w:sz w:val="24"/>
          <w:szCs w:val="24"/>
        </w:rPr>
        <w:t xml:space="preserve">(c) If, during a month, </w:t>
      </w:r>
      <w:r w:rsidR="007F78D1">
        <w:rPr>
          <w:rFonts w:ascii="Times New Roman" w:hAnsi="Times New Roman"/>
          <w:bCs/>
          <w:sz w:val="24"/>
          <w:szCs w:val="24"/>
        </w:rPr>
        <w:t xml:space="preserve">an otherwise qualifying </w:t>
      </w:r>
      <w:r w:rsidRPr="006A262A">
        <w:rPr>
          <w:rFonts w:ascii="Times New Roman" w:hAnsi="Times New Roman"/>
          <w:bCs/>
          <w:sz w:val="24"/>
          <w:szCs w:val="24"/>
        </w:rPr>
        <w:t xml:space="preserve">Shipper has not </w:t>
      </w:r>
      <w:r w:rsidR="00631718">
        <w:rPr>
          <w:rFonts w:ascii="Times New Roman" w:hAnsi="Times New Roman"/>
          <w:bCs/>
          <w:sz w:val="24"/>
          <w:szCs w:val="24"/>
        </w:rPr>
        <w:t>nominated and Tendered</w:t>
      </w:r>
      <w:r w:rsidRPr="006A262A">
        <w:rPr>
          <w:rFonts w:ascii="Times New Roman" w:hAnsi="Times New Roman"/>
          <w:bCs/>
          <w:sz w:val="24"/>
          <w:szCs w:val="24"/>
        </w:rPr>
        <w:t xml:space="preserve"> </w:t>
      </w:r>
      <w:r w:rsidR="007F78D1">
        <w:rPr>
          <w:rFonts w:ascii="Times New Roman" w:hAnsi="Times New Roman"/>
          <w:bCs/>
          <w:sz w:val="24"/>
          <w:szCs w:val="24"/>
        </w:rPr>
        <w:t xml:space="preserve">an amount equal to </w:t>
      </w:r>
      <w:r w:rsidRPr="006A262A">
        <w:rPr>
          <w:rFonts w:ascii="Times New Roman" w:hAnsi="Times New Roman"/>
          <w:bCs/>
          <w:sz w:val="24"/>
          <w:szCs w:val="24"/>
        </w:rPr>
        <w:t xml:space="preserve">the Qualifying Volume to the </w:t>
      </w:r>
      <w:r w:rsidR="00631718">
        <w:rPr>
          <w:rFonts w:ascii="Times New Roman" w:hAnsi="Times New Roman"/>
          <w:bCs/>
          <w:sz w:val="24"/>
          <w:szCs w:val="24"/>
        </w:rPr>
        <w:t>Origin Points</w:t>
      </w:r>
      <w:r w:rsidRPr="006A262A">
        <w:rPr>
          <w:rFonts w:ascii="Times New Roman" w:hAnsi="Times New Roman"/>
          <w:bCs/>
          <w:sz w:val="24"/>
          <w:szCs w:val="24"/>
        </w:rPr>
        <w:t>, Shipper shall not be eligible for the volume incentive rates under the Program and shall</w:t>
      </w:r>
      <w:r w:rsidR="00227E3D">
        <w:rPr>
          <w:rFonts w:ascii="Times New Roman" w:hAnsi="Times New Roman"/>
          <w:bCs/>
          <w:sz w:val="24"/>
          <w:szCs w:val="24"/>
        </w:rPr>
        <w:t xml:space="preserve"> </w:t>
      </w:r>
      <w:r w:rsidRPr="006A262A">
        <w:rPr>
          <w:rFonts w:ascii="Times New Roman" w:hAnsi="Times New Roman"/>
          <w:bCs/>
          <w:sz w:val="24"/>
          <w:szCs w:val="24"/>
        </w:rPr>
        <w:t xml:space="preserve">instead be required to pay the Rates identified in the Tables of Rates in FERC No. </w:t>
      </w:r>
      <w:r w:rsidR="00C47B1B">
        <w:rPr>
          <w:rFonts w:ascii="Times New Roman" w:hAnsi="Times New Roman"/>
          <w:bCs/>
          <w:sz w:val="24"/>
          <w:szCs w:val="24"/>
        </w:rPr>
        <w:t>2.0.0</w:t>
      </w:r>
      <w:r w:rsidR="0058119E">
        <w:rPr>
          <w:rFonts w:ascii="Times New Roman" w:hAnsi="Times New Roman"/>
          <w:bCs/>
          <w:sz w:val="24"/>
          <w:szCs w:val="24"/>
        </w:rPr>
        <w:t>,</w:t>
      </w:r>
      <w:r w:rsidR="00C47B1B">
        <w:rPr>
          <w:rFonts w:ascii="Times New Roman" w:hAnsi="Times New Roman"/>
          <w:bCs/>
          <w:sz w:val="24"/>
          <w:szCs w:val="24"/>
        </w:rPr>
        <w:t xml:space="preserve"> </w:t>
      </w:r>
      <w:r w:rsidRPr="006A262A">
        <w:rPr>
          <w:rFonts w:ascii="Times New Roman" w:hAnsi="Times New Roman"/>
          <w:bCs/>
          <w:sz w:val="24"/>
          <w:szCs w:val="24"/>
        </w:rPr>
        <w:t xml:space="preserve">or supplements thereto or successive reissues thereof. </w:t>
      </w:r>
    </w:p>
    <w:p w14:paraId="784DA9CC" w14:textId="77777777" w:rsidR="006A262A" w:rsidRDefault="006A262A" w:rsidP="00B37F9E">
      <w:pPr>
        <w:widowControl/>
        <w:tabs>
          <w:tab w:val="left" w:pos="0"/>
          <w:tab w:val="left" w:pos="432"/>
          <w:tab w:val="left" w:pos="720"/>
        </w:tabs>
        <w:suppressAutoHyphens/>
        <w:ind w:left="-180" w:right="144"/>
        <w:jc w:val="both"/>
        <w:rPr>
          <w:rFonts w:ascii="Times New Roman" w:hAnsi="Times New Roman"/>
          <w:bCs/>
          <w:sz w:val="24"/>
          <w:szCs w:val="24"/>
        </w:rPr>
      </w:pPr>
    </w:p>
    <w:p w14:paraId="116BFD3C" w14:textId="6467DF98" w:rsidR="00B37F9E" w:rsidRPr="006A262A" w:rsidRDefault="006A262A" w:rsidP="00B37F9E">
      <w:pPr>
        <w:widowControl/>
        <w:tabs>
          <w:tab w:val="left" w:pos="0"/>
          <w:tab w:val="left" w:pos="432"/>
          <w:tab w:val="left" w:pos="720"/>
        </w:tabs>
        <w:suppressAutoHyphens/>
        <w:ind w:left="-180" w:right="144"/>
        <w:jc w:val="both"/>
        <w:rPr>
          <w:rFonts w:ascii="Times New Roman" w:hAnsi="Times New Roman"/>
          <w:bCs/>
          <w:sz w:val="24"/>
          <w:szCs w:val="24"/>
        </w:rPr>
      </w:pPr>
      <w:r w:rsidRPr="006A262A">
        <w:rPr>
          <w:rFonts w:ascii="Times New Roman" w:hAnsi="Times New Roman"/>
          <w:bCs/>
          <w:sz w:val="24"/>
          <w:szCs w:val="24"/>
        </w:rPr>
        <w:t xml:space="preserve">(d) </w:t>
      </w:r>
      <w:r w:rsidR="007F78D1">
        <w:rPr>
          <w:rFonts w:ascii="Times New Roman" w:hAnsi="Times New Roman"/>
          <w:bCs/>
          <w:sz w:val="24"/>
          <w:szCs w:val="24"/>
        </w:rPr>
        <w:t xml:space="preserve">A </w:t>
      </w:r>
      <w:r w:rsidRPr="006A262A">
        <w:rPr>
          <w:rFonts w:ascii="Times New Roman" w:hAnsi="Times New Roman"/>
          <w:bCs/>
          <w:sz w:val="24"/>
          <w:szCs w:val="24"/>
        </w:rPr>
        <w:t xml:space="preserve">Shipper’s Qualifying Volume </w:t>
      </w:r>
      <w:r w:rsidR="007F78D1">
        <w:rPr>
          <w:rFonts w:ascii="Times New Roman" w:hAnsi="Times New Roman"/>
          <w:bCs/>
          <w:sz w:val="24"/>
          <w:szCs w:val="24"/>
        </w:rPr>
        <w:t xml:space="preserve">obligation </w:t>
      </w:r>
      <w:r w:rsidRPr="006A262A">
        <w:rPr>
          <w:rFonts w:ascii="Times New Roman" w:hAnsi="Times New Roman"/>
          <w:bCs/>
          <w:sz w:val="24"/>
          <w:szCs w:val="24"/>
        </w:rPr>
        <w:t>for a month shall be reduced</w:t>
      </w:r>
      <w:r w:rsidR="007F78D1">
        <w:rPr>
          <w:rFonts w:ascii="Times New Roman" w:hAnsi="Times New Roman"/>
          <w:bCs/>
          <w:sz w:val="24"/>
          <w:szCs w:val="24"/>
        </w:rPr>
        <w:t>,</w:t>
      </w:r>
      <w:r w:rsidRPr="006A262A">
        <w:rPr>
          <w:rFonts w:ascii="Times New Roman" w:hAnsi="Times New Roman"/>
          <w:bCs/>
          <w:sz w:val="24"/>
          <w:szCs w:val="24"/>
        </w:rPr>
        <w:t xml:space="preserve"> pro rata</w:t>
      </w:r>
      <w:r w:rsidR="007F78D1">
        <w:rPr>
          <w:rFonts w:ascii="Times New Roman" w:hAnsi="Times New Roman"/>
          <w:bCs/>
          <w:sz w:val="24"/>
          <w:szCs w:val="24"/>
        </w:rPr>
        <w:t xml:space="preserve"> and </w:t>
      </w:r>
      <w:r w:rsidRPr="006A262A">
        <w:rPr>
          <w:rFonts w:ascii="Times New Roman" w:hAnsi="Times New Roman"/>
          <w:bCs/>
          <w:sz w:val="24"/>
          <w:szCs w:val="24"/>
        </w:rPr>
        <w:t>on a day for day basis</w:t>
      </w:r>
      <w:r w:rsidR="007F78D1">
        <w:rPr>
          <w:rFonts w:ascii="Times New Roman" w:hAnsi="Times New Roman"/>
          <w:bCs/>
          <w:sz w:val="24"/>
          <w:szCs w:val="24"/>
        </w:rPr>
        <w:t>,</w:t>
      </w:r>
      <w:r w:rsidRPr="006A262A">
        <w:rPr>
          <w:rFonts w:ascii="Times New Roman" w:hAnsi="Times New Roman"/>
          <w:bCs/>
          <w:sz w:val="24"/>
          <w:szCs w:val="24"/>
        </w:rPr>
        <w:t xml:space="preserve"> for each day that Carrier was unable to provide service during that month, provided that (x) Shipper demonstrates that Carrier failed to provide service in that month; (y) Shipper demonstrates that Carrier's failure to provide service in fact resulted in Shipper's inability to </w:t>
      </w:r>
      <w:r w:rsidR="007F78D1">
        <w:rPr>
          <w:rFonts w:ascii="Times New Roman" w:hAnsi="Times New Roman"/>
          <w:bCs/>
          <w:sz w:val="24"/>
          <w:szCs w:val="24"/>
        </w:rPr>
        <w:t xml:space="preserve">deliver to the Origin Points an amount equal to the </w:t>
      </w:r>
      <w:r w:rsidRPr="006A262A">
        <w:rPr>
          <w:rFonts w:ascii="Times New Roman" w:hAnsi="Times New Roman"/>
          <w:bCs/>
          <w:sz w:val="24"/>
          <w:szCs w:val="24"/>
        </w:rPr>
        <w:t>Qualifying Volume in that month; and (z) Shipper asserts Carrier’s failure to provide service, in writing, to Carrier within ten (10) days following the end of the month during which Carrier was unable to provide service.</w:t>
      </w:r>
    </w:p>
    <w:p w14:paraId="76DEA702" w14:textId="77777777" w:rsidR="006B2E8E" w:rsidRPr="006A262A" w:rsidRDefault="006B2E8E" w:rsidP="004A1BCD">
      <w:pPr>
        <w:tabs>
          <w:tab w:val="left" w:pos="3240"/>
        </w:tabs>
        <w:ind w:left="3240" w:hanging="3240"/>
        <w:rPr>
          <w:rFonts w:ascii="Times New Roman" w:hAnsi="Times New Roman"/>
          <w:bCs/>
          <w:sz w:val="24"/>
          <w:szCs w:val="24"/>
        </w:rPr>
      </w:pPr>
    </w:p>
    <w:p w14:paraId="06A44F34" w14:textId="77777777" w:rsidR="004A1BCD" w:rsidRDefault="004A1BCD" w:rsidP="00631718">
      <w:bookmarkStart w:id="4" w:name="_DV_M65"/>
      <w:bookmarkEnd w:id="4"/>
    </w:p>
    <w:sectPr w:rsidR="004A1BCD" w:rsidSect="00C71E59">
      <w:headerReference w:type="default" r:id="rId7"/>
      <w:footerReference w:type="default" r:id="rId8"/>
      <w:pgSz w:w="12240" w:h="15840" w:code="1"/>
      <w:pgMar w:top="504"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AFDAF" w14:textId="77777777" w:rsidR="00BC75D0" w:rsidRDefault="00BC75D0">
      <w:r>
        <w:separator/>
      </w:r>
    </w:p>
  </w:endnote>
  <w:endnote w:type="continuationSeparator" w:id="0">
    <w:p w14:paraId="0B38F68E" w14:textId="77777777" w:rsidR="00BC75D0" w:rsidRDefault="00BC7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34A5" w14:textId="77777777" w:rsidR="006B14F2" w:rsidRPr="00C47B1B" w:rsidRDefault="006B14F2" w:rsidP="002812B2">
    <w:pPr>
      <w:pStyle w:val="Footer"/>
      <w:jc w:val="center"/>
      <w:rPr>
        <w:rFonts w:ascii="Times New Roman" w:hAnsi="Times New Roman"/>
      </w:rPr>
    </w:pPr>
    <w:r w:rsidRPr="00C47B1B">
      <w:rPr>
        <w:rStyle w:val="PageNumber"/>
        <w:rFonts w:ascii="Times New Roman" w:hAnsi="Times New Roman"/>
      </w:rPr>
      <w:fldChar w:fldCharType="begin"/>
    </w:r>
    <w:r w:rsidRPr="00C47B1B">
      <w:rPr>
        <w:rStyle w:val="PageNumber"/>
        <w:rFonts w:ascii="Times New Roman" w:hAnsi="Times New Roman"/>
      </w:rPr>
      <w:instrText xml:space="preserve"> PAGE </w:instrText>
    </w:r>
    <w:r w:rsidRPr="00C47B1B">
      <w:rPr>
        <w:rStyle w:val="PageNumber"/>
        <w:rFonts w:ascii="Times New Roman" w:hAnsi="Times New Roman"/>
      </w:rPr>
      <w:fldChar w:fldCharType="separate"/>
    </w:r>
    <w:r w:rsidR="00476A2D" w:rsidRPr="00C47B1B">
      <w:rPr>
        <w:rStyle w:val="PageNumber"/>
        <w:rFonts w:ascii="Times New Roman" w:hAnsi="Times New Roman"/>
        <w:noProof/>
      </w:rPr>
      <w:t>3</w:t>
    </w:r>
    <w:r w:rsidRPr="00C47B1B">
      <w:rPr>
        <w:rStyle w:val="PageNumber"/>
        <w:rFonts w:ascii="Times New Roman" w:hAnsi="Times New Roman"/>
      </w:rPr>
      <w:fldChar w:fldCharType="end"/>
    </w:r>
    <w:r w:rsidRPr="00C47B1B">
      <w:rPr>
        <w:rStyle w:val="PageNumber"/>
        <w:rFonts w:ascii="Times New Roman" w:hAnsi="Times New Roman"/>
      </w:rPr>
      <w:t xml:space="preserve"> of </w:t>
    </w:r>
    <w:r w:rsidRPr="00C47B1B">
      <w:rPr>
        <w:rStyle w:val="PageNumber"/>
        <w:rFonts w:ascii="Times New Roman" w:hAnsi="Times New Roman"/>
      </w:rPr>
      <w:fldChar w:fldCharType="begin"/>
    </w:r>
    <w:r w:rsidRPr="00C47B1B">
      <w:rPr>
        <w:rStyle w:val="PageNumber"/>
        <w:rFonts w:ascii="Times New Roman" w:hAnsi="Times New Roman"/>
      </w:rPr>
      <w:instrText xml:space="preserve"> NUMPAGES </w:instrText>
    </w:r>
    <w:r w:rsidRPr="00C47B1B">
      <w:rPr>
        <w:rStyle w:val="PageNumber"/>
        <w:rFonts w:ascii="Times New Roman" w:hAnsi="Times New Roman"/>
      </w:rPr>
      <w:fldChar w:fldCharType="separate"/>
    </w:r>
    <w:r w:rsidR="00476A2D" w:rsidRPr="00C47B1B">
      <w:rPr>
        <w:rStyle w:val="PageNumber"/>
        <w:rFonts w:ascii="Times New Roman" w:hAnsi="Times New Roman"/>
        <w:noProof/>
      </w:rPr>
      <w:t>3</w:t>
    </w:r>
    <w:r w:rsidRPr="00C47B1B">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55D33" w14:textId="77777777" w:rsidR="00BC75D0" w:rsidRDefault="00BC75D0">
      <w:r>
        <w:separator/>
      </w:r>
    </w:p>
  </w:footnote>
  <w:footnote w:type="continuationSeparator" w:id="0">
    <w:p w14:paraId="38603387" w14:textId="77777777" w:rsidR="00BC75D0" w:rsidRDefault="00BC7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4167D" w14:textId="1DDF9D3C" w:rsidR="00950C46" w:rsidRPr="00EE254A" w:rsidRDefault="00950C46">
    <w:pPr>
      <w:pStyle w:val="Header"/>
      <w:rPr>
        <w:rFonts w:ascii="Times New Roman" w:hAnsi="Times New Roman"/>
        <w:sz w:val="24"/>
        <w:szCs w:val="24"/>
      </w:rPr>
    </w:pPr>
  </w:p>
  <w:p w14:paraId="207F83D1" w14:textId="77777777" w:rsidR="00950C46" w:rsidRDefault="00950C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BCD"/>
    <w:rsid w:val="00012406"/>
    <w:rsid w:val="000273CA"/>
    <w:rsid w:val="00042BE9"/>
    <w:rsid w:val="00043B58"/>
    <w:rsid w:val="00045A63"/>
    <w:rsid w:val="0006231C"/>
    <w:rsid w:val="000C691F"/>
    <w:rsid w:val="000D6094"/>
    <w:rsid w:val="000F7CBD"/>
    <w:rsid w:val="00116DC1"/>
    <w:rsid w:val="00136413"/>
    <w:rsid w:val="00182715"/>
    <w:rsid w:val="00190348"/>
    <w:rsid w:val="00194981"/>
    <w:rsid w:val="001A0A98"/>
    <w:rsid w:val="001A6DF7"/>
    <w:rsid w:val="001C53C3"/>
    <w:rsid w:val="001D5379"/>
    <w:rsid w:val="001D58EB"/>
    <w:rsid w:val="001F2C3E"/>
    <w:rsid w:val="00204BE1"/>
    <w:rsid w:val="00227E3D"/>
    <w:rsid w:val="00241021"/>
    <w:rsid w:val="00254D59"/>
    <w:rsid w:val="0025645D"/>
    <w:rsid w:val="002812B2"/>
    <w:rsid w:val="00284938"/>
    <w:rsid w:val="002872EF"/>
    <w:rsid w:val="002B0B45"/>
    <w:rsid w:val="002B0EEB"/>
    <w:rsid w:val="002C5FAC"/>
    <w:rsid w:val="002D26B0"/>
    <w:rsid w:val="002D2A59"/>
    <w:rsid w:val="002E2D9F"/>
    <w:rsid w:val="00302070"/>
    <w:rsid w:val="003107FA"/>
    <w:rsid w:val="003148F4"/>
    <w:rsid w:val="003320C0"/>
    <w:rsid w:val="003605BF"/>
    <w:rsid w:val="00386591"/>
    <w:rsid w:val="003916BA"/>
    <w:rsid w:val="0039794F"/>
    <w:rsid w:val="003F4009"/>
    <w:rsid w:val="003F6670"/>
    <w:rsid w:val="00416E7A"/>
    <w:rsid w:val="00426AF6"/>
    <w:rsid w:val="00443837"/>
    <w:rsid w:val="00456309"/>
    <w:rsid w:val="004607D1"/>
    <w:rsid w:val="00471B8F"/>
    <w:rsid w:val="00476A2D"/>
    <w:rsid w:val="004849EC"/>
    <w:rsid w:val="00486C10"/>
    <w:rsid w:val="004948A9"/>
    <w:rsid w:val="004A1BCD"/>
    <w:rsid w:val="004A5B41"/>
    <w:rsid w:val="004B00C6"/>
    <w:rsid w:val="004B2570"/>
    <w:rsid w:val="004F7A21"/>
    <w:rsid w:val="00507A0A"/>
    <w:rsid w:val="00526471"/>
    <w:rsid w:val="00527999"/>
    <w:rsid w:val="00527B2C"/>
    <w:rsid w:val="00531660"/>
    <w:rsid w:val="00550271"/>
    <w:rsid w:val="005670F3"/>
    <w:rsid w:val="00572401"/>
    <w:rsid w:val="005732BA"/>
    <w:rsid w:val="0058119E"/>
    <w:rsid w:val="00594FB7"/>
    <w:rsid w:val="005A0C4F"/>
    <w:rsid w:val="005A6B73"/>
    <w:rsid w:val="005A7931"/>
    <w:rsid w:val="005C33D8"/>
    <w:rsid w:val="005C7835"/>
    <w:rsid w:val="00604B8A"/>
    <w:rsid w:val="00610BD5"/>
    <w:rsid w:val="00616F79"/>
    <w:rsid w:val="00623AC8"/>
    <w:rsid w:val="00631718"/>
    <w:rsid w:val="00637840"/>
    <w:rsid w:val="00642434"/>
    <w:rsid w:val="00653547"/>
    <w:rsid w:val="00664F94"/>
    <w:rsid w:val="00667371"/>
    <w:rsid w:val="0067701B"/>
    <w:rsid w:val="006A03F2"/>
    <w:rsid w:val="006A262A"/>
    <w:rsid w:val="006A47CB"/>
    <w:rsid w:val="006A5038"/>
    <w:rsid w:val="006B14F2"/>
    <w:rsid w:val="006B2E8E"/>
    <w:rsid w:val="006F09B3"/>
    <w:rsid w:val="00702B61"/>
    <w:rsid w:val="00712EFA"/>
    <w:rsid w:val="00713B19"/>
    <w:rsid w:val="00722EC0"/>
    <w:rsid w:val="00734F86"/>
    <w:rsid w:val="007379CA"/>
    <w:rsid w:val="007530E1"/>
    <w:rsid w:val="007657BD"/>
    <w:rsid w:val="00771415"/>
    <w:rsid w:val="00775CBA"/>
    <w:rsid w:val="007770EC"/>
    <w:rsid w:val="007934F0"/>
    <w:rsid w:val="007D45BF"/>
    <w:rsid w:val="007F1DCD"/>
    <w:rsid w:val="007F78D1"/>
    <w:rsid w:val="00814976"/>
    <w:rsid w:val="00817E29"/>
    <w:rsid w:val="00836C62"/>
    <w:rsid w:val="008400DA"/>
    <w:rsid w:val="0087030B"/>
    <w:rsid w:val="00874E7B"/>
    <w:rsid w:val="00880D6D"/>
    <w:rsid w:val="00891EF7"/>
    <w:rsid w:val="00894FD4"/>
    <w:rsid w:val="008A35D8"/>
    <w:rsid w:val="008D43FA"/>
    <w:rsid w:val="008E7D0C"/>
    <w:rsid w:val="008F192A"/>
    <w:rsid w:val="008F5483"/>
    <w:rsid w:val="008F5808"/>
    <w:rsid w:val="008F5F91"/>
    <w:rsid w:val="00931B2F"/>
    <w:rsid w:val="0094038E"/>
    <w:rsid w:val="009403FA"/>
    <w:rsid w:val="00950C46"/>
    <w:rsid w:val="0095319C"/>
    <w:rsid w:val="00981992"/>
    <w:rsid w:val="00985D07"/>
    <w:rsid w:val="009A625C"/>
    <w:rsid w:val="009B11DE"/>
    <w:rsid w:val="009B1F38"/>
    <w:rsid w:val="009C74CE"/>
    <w:rsid w:val="009D415F"/>
    <w:rsid w:val="009E6A9A"/>
    <w:rsid w:val="009F4972"/>
    <w:rsid w:val="009F7565"/>
    <w:rsid w:val="00A050E7"/>
    <w:rsid w:val="00A13AF2"/>
    <w:rsid w:val="00A571EB"/>
    <w:rsid w:val="00A62AC7"/>
    <w:rsid w:val="00A67168"/>
    <w:rsid w:val="00A8170E"/>
    <w:rsid w:val="00A941B9"/>
    <w:rsid w:val="00AA7F13"/>
    <w:rsid w:val="00AB59DD"/>
    <w:rsid w:val="00AB7B2A"/>
    <w:rsid w:val="00AD4EA5"/>
    <w:rsid w:val="00AD63F0"/>
    <w:rsid w:val="00AD7383"/>
    <w:rsid w:val="00AF6853"/>
    <w:rsid w:val="00B04900"/>
    <w:rsid w:val="00B211B9"/>
    <w:rsid w:val="00B37F9E"/>
    <w:rsid w:val="00B406BF"/>
    <w:rsid w:val="00B75B86"/>
    <w:rsid w:val="00BB09EC"/>
    <w:rsid w:val="00BB577C"/>
    <w:rsid w:val="00BB5B8C"/>
    <w:rsid w:val="00BC75D0"/>
    <w:rsid w:val="00C02E7A"/>
    <w:rsid w:val="00C0454A"/>
    <w:rsid w:val="00C15AD8"/>
    <w:rsid w:val="00C21822"/>
    <w:rsid w:val="00C218A7"/>
    <w:rsid w:val="00C309B2"/>
    <w:rsid w:val="00C47B1B"/>
    <w:rsid w:val="00C5508F"/>
    <w:rsid w:val="00C625E1"/>
    <w:rsid w:val="00C71E59"/>
    <w:rsid w:val="00CA133A"/>
    <w:rsid w:val="00CA1A79"/>
    <w:rsid w:val="00CE3F3E"/>
    <w:rsid w:val="00CE4F0C"/>
    <w:rsid w:val="00CF2140"/>
    <w:rsid w:val="00CF4D5A"/>
    <w:rsid w:val="00D54F56"/>
    <w:rsid w:val="00D663A8"/>
    <w:rsid w:val="00D811A6"/>
    <w:rsid w:val="00DA6714"/>
    <w:rsid w:val="00DC46A5"/>
    <w:rsid w:val="00DC5C81"/>
    <w:rsid w:val="00DD122F"/>
    <w:rsid w:val="00E57803"/>
    <w:rsid w:val="00E601FD"/>
    <w:rsid w:val="00E61772"/>
    <w:rsid w:val="00E75961"/>
    <w:rsid w:val="00E87EDD"/>
    <w:rsid w:val="00E9747F"/>
    <w:rsid w:val="00EA4B66"/>
    <w:rsid w:val="00EA4BD6"/>
    <w:rsid w:val="00EA622D"/>
    <w:rsid w:val="00EB7723"/>
    <w:rsid w:val="00EE025D"/>
    <w:rsid w:val="00EE254A"/>
    <w:rsid w:val="00F0383D"/>
    <w:rsid w:val="00F37190"/>
    <w:rsid w:val="00F6759C"/>
    <w:rsid w:val="00F712C1"/>
    <w:rsid w:val="00F74CB8"/>
    <w:rsid w:val="00F765BA"/>
    <w:rsid w:val="00F848D5"/>
    <w:rsid w:val="00FA52EA"/>
    <w:rsid w:val="00FC6976"/>
    <w:rsid w:val="00FD136C"/>
    <w:rsid w:val="00FD495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037578"/>
  <w15:docId w15:val="{57F78285-86AA-4978-BB77-897754F0C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1BCD"/>
    <w:pPr>
      <w:widowControl w:val="0"/>
      <w:autoSpaceDE w:val="0"/>
      <w:autoSpaceDN w:val="0"/>
      <w:adjustRightInd w:val="0"/>
    </w:pPr>
    <w:rPr>
      <w:rFonts w:ascii="Courier" w:hAnsi="Courier"/>
    </w:rPr>
  </w:style>
  <w:style w:type="paragraph" w:styleId="Heading1">
    <w:name w:val="heading 1"/>
    <w:basedOn w:val="Normal"/>
    <w:next w:val="Normal"/>
    <w:qFormat/>
    <w:rsid w:val="004A1BCD"/>
    <w:pPr>
      <w:keepNext/>
      <w:tabs>
        <w:tab w:val="left" w:pos="0"/>
        <w:tab w:val="left" w:pos="2880"/>
      </w:tabs>
      <w:suppressAutoHyphens/>
      <w:ind w:right="1440"/>
      <w:jc w:val="center"/>
      <w:outlineLvl w:val="0"/>
    </w:pPr>
    <w:rPr>
      <w:rFonts w:ascii="Arial" w:hAnsi="Arial" w:cs="Arial"/>
      <w:b/>
      <w:bCs/>
      <w:sz w:val="18"/>
      <w:szCs w:val="18"/>
    </w:rPr>
  </w:style>
  <w:style w:type="paragraph" w:styleId="Heading2">
    <w:name w:val="heading 2"/>
    <w:basedOn w:val="Normal"/>
    <w:next w:val="Normal"/>
    <w:qFormat/>
    <w:rsid w:val="00712EF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1BC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4A1BCD"/>
    <w:rPr>
      <w:b/>
      <w:bCs/>
      <w:color w:val="0000FF"/>
      <w:spacing w:val="0"/>
      <w:u w:val="double"/>
    </w:rPr>
  </w:style>
  <w:style w:type="character" w:customStyle="1" w:styleId="DeltaViewDeletion">
    <w:name w:val="DeltaView Deletion"/>
    <w:rsid w:val="00712EFA"/>
    <w:rPr>
      <w:strike/>
      <w:color w:val="FF0000"/>
      <w:spacing w:val="0"/>
    </w:rPr>
  </w:style>
  <w:style w:type="paragraph" w:styleId="Header">
    <w:name w:val="header"/>
    <w:basedOn w:val="Normal"/>
    <w:link w:val="HeaderChar"/>
    <w:uiPriority w:val="99"/>
    <w:rsid w:val="00D811A6"/>
    <w:pPr>
      <w:tabs>
        <w:tab w:val="center" w:pos="4320"/>
        <w:tab w:val="right" w:pos="8640"/>
      </w:tabs>
    </w:pPr>
  </w:style>
  <w:style w:type="paragraph" w:styleId="Footer">
    <w:name w:val="footer"/>
    <w:basedOn w:val="Normal"/>
    <w:rsid w:val="00D811A6"/>
    <w:pPr>
      <w:tabs>
        <w:tab w:val="center" w:pos="4320"/>
        <w:tab w:val="right" w:pos="8640"/>
      </w:tabs>
    </w:pPr>
  </w:style>
  <w:style w:type="character" w:styleId="PageNumber">
    <w:name w:val="page number"/>
    <w:basedOn w:val="DefaultParagraphFont"/>
    <w:rsid w:val="002812B2"/>
  </w:style>
  <w:style w:type="paragraph" w:styleId="BalloonText">
    <w:name w:val="Balloon Text"/>
    <w:basedOn w:val="Normal"/>
    <w:link w:val="BalloonTextChar"/>
    <w:rsid w:val="00D54F56"/>
    <w:rPr>
      <w:rFonts w:ascii="Tahoma" w:hAnsi="Tahoma" w:cs="Tahoma"/>
      <w:sz w:val="16"/>
      <w:szCs w:val="16"/>
    </w:rPr>
  </w:style>
  <w:style w:type="character" w:customStyle="1" w:styleId="BalloonTextChar">
    <w:name w:val="Balloon Text Char"/>
    <w:link w:val="BalloonText"/>
    <w:rsid w:val="00D54F56"/>
    <w:rPr>
      <w:rFonts w:ascii="Tahoma" w:hAnsi="Tahoma" w:cs="Tahoma"/>
      <w:sz w:val="16"/>
      <w:szCs w:val="16"/>
    </w:rPr>
  </w:style>
  <w:style w:type="character" w:customStyle="1" w:styleId="HeaderChar">
    <w:name w:val="Header Char"/>
    <w:basedOn w:val="DefaultParagraphFont"/>
    <w:link w:val="Header"/>
    <w:uiPriority w:val="99"/>
    <w:rsid w:val="00950C46"/>
    <w:rPr>
      <w:rFonts w:ascii="Courier" w:hAnsi="Courier"/>
    </w:rPr>
  </w:style>
  <w:style w:type="paragraph" w:styleId="Revision">
    <w:name w:val="Revision"/>
    <w:hidden/>
    <w:uiPriority w:val="99"/>
    <w:semiHidden/>
    <w:rsid w:val="00507A0A"/>
    <w:rPr>
      <w:rFonts w:ascii="Courier" w:hAnsi="Courier"/>
    </w:rPr>
  </w:style>
  <w:style w:type="character" w:styleId="Hyperlink">
    <w:name w:val="Hyperlink"/>
    <w:basedOn w:val="DefaultParagraphFont"/>
    <w:unhideWhenUsed/>
    <w:rsid w:val="00EE254A"/>
    <w:rPr>
      <w:color w:val="0000FF" w:themeColor="hyperlink"/>
      <w:u w:val="single"/>
    </w:rPr>
  </w:style>
  <w:style w:type="character" w:styleId="CommentReference">
    <w:name w:val="annotation reference"/>
    <w:basedOn w:val="DefaultParagraphFont"/>
    <w:semiHidden/>
    <w:unhideWhenUsed/>
    <w:rsid w:val="007F78D1"/>
    <w:rPr>
      <w:sz w:val="16"/>
      <w:szCs w:val="16"/>
    </w:rPr>
  </w:style>
  <w:style w:type="paragraph" w:styleId="CommentText">
    <w:name w:val="annotation text"/>
    <w:basedOn w:val="Normal"/>
    <w:link w:val="CommentTextChar"/>
    <w:unhideWhenUsed/>
    <w:rsid w:val="007F78D1"/>
  </w:style>
  <w:style w:type="character" w:customStyle="1" w:styleId="CommentTextChar">
    <w:name w:val="Comment Text Char"/>
    <w:basedOn w:val="DefaultParagraphFont"/>
    <w:link w:val="CommentText"/>
    <w:rsid w:val="007F78D1"/>
    <w:rPr>
      <w:rFonts w:ascii="Courier" w:hAnsi="Courier"/>
    </w:rPr>
  </w:style>
  <w:style w:type="paragraph" w:styleId="CommentSubject">
    <w:name w:val="annotation subject"/>
    <w:basedOn w:val="CommentText"/>
    <w:next w:val="CommentText"/>
    <w:link w:val="CommentSubjectChar"/>
    <w:semiHidden/>
    <w:unhideWhenUsed/>
    <w:rsid w:val="007F78D1"/>
    <w:rPr>
      <w:b/>
      <w:bCs/>
    </w:rPr>
  </w:style>
  <w:style w:type="character" w:customStyle="1" w:styleId="CommentSubjectChar">
    <w:name w:val="Comment Subject Char"/>
    <w:basedOn w:val="CommentTextChar"/>
    <w:link w:val="CommentSubject"/>
    <w:semiHidden/>
    <w:rsid w:val="007F78D1"/>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86645">
      <w:bodyDiv w:val="1"/>
      <w:marLeft w:val="0"/>
      <w:marRight w:val="0"/>
      <w:marTop w:val="0"/>
      <w:marBottom w:val="0"/>
      <w:divBdr>
        <w:top w:val="none" w:sz="0" w:space="0" w:color="auto"/>
        <w:left w:val="none" w:sz="0" w:space="0" w:color="auto"/>
        <w:bottom w:val="none" w:sz="0" w:space="0" w:color="auto"/>
        <w:right w:val="none" w:sz="0" w:space="0" w:color="auto"/>
      </w:divBdr>
    </w:div>
    <w:div w:id="117869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ina_hardy@kindermorgan.com"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58E2A84F4F994290EC6C41E6C7C32A" ma:contentTypeVersion="19" ma:contentTypeDescription="Create a new document." ma:contentTypeScope="" ma:versionID="d72d4ba6a4149fb0645f0d990bf0fd77">
  <xsd:schema xmlns:xsd="http://www.w3.org/2001/XMLSchema" xmlns:xs="http://www.w3.org/2001/XMLSchema" xmlns:p="http://schemas.microsoft.com/office/2006/metadata/properties" xmlns:ns1="f55af35e-3808-4bc9-8be1-1a7711382ee3" xmlns:ns3="cdd4ad44-94cf-4dd0-97c5-bf3ebb6654d5" xmlns:ns4="a98e62ef-2be9-43e1-a437-6582a0b6a638" targetNamespace="http://schemas.microsoft.com/office/2006/metadata/properties" ma:root="true" ma:fieldsID="8b63b432d5c86cd9d13d5f827e09f236" ns1:_="" ns3:_="" ns4:_="">
    <xsd:import namespace="f55af35e-3808-4bc9-8be1-1a7711382ee3"/>
    <xsd:import namespace="cdd4ad44-94cf-4dd0-97c5-bf3ebb6654d5"/>
    <xsd:import namespace="a98e62ef-2be9-43e1-a437-6582a0b6a638"/>
    <xsd:element name="properties">
      <xsd:complexType>
        <xsd:sequence>
          <xsd:element name="documentManagement">
            <xsd:complexType>
              <xsd:all>
                <xsd:element ref="ns1:Document_x0020_Title" minOccurs="0"/>
                <xsd:element ref="ns1:Description0" minOccurs="0"/>
                <xsd:element ref="ns1:Section" minOccurs="0"/>
                <xsd:element ref="ns1:Category" minOccurs="0"/>
                <xsd:element ref="ns1:Sub_x0020_Category" minOccurs="0"/>
                <xsd:element ref="ns1:Flag" minOccurs="0"/>
                <xsd:element ref="ns1:Published_x0020_Date" minOccurs="0"/>
                <xsd:element ref="ns1:Release_x0020_Date" minOccurs="0"/>
                <xsd:element ref="ns1:Sort_x0020_Order" minOccurs="0"/>
                <xsd:element ref="ns1:URL" minOccurs="0"/>
                <xsd:element ref="ns3:From" minOccurs="0"/>
                <xsd:element ref="ns3:To" minOccurs="0"/>
                <xsd:element ref="ns3:Product"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af35e-3808-4bc9-8be1-1a7711382ee3" elementFormDefault="qualified">
    <xsd:import namespace="http://schemas.microsoft.com/office/2006/documentManagement/types"/>
    <xsd:import namespace="http://schemas.microsoft.com/office/infopath/2007/PartnerControls"/>
    <xsd:element name="Document_x0020_Title" ma:index="0" nillable="true" ma:displayName="DocTitle" ma:default="" ma:description="Document Title" ma:internalName="Document_x0020_Title">
      <xsd:simpleType>
        <xsd:restriction base="dms:Text">
          <xsd:maxLength value="255"/>
        </xsd:restriction>
      </xsd:simpleType>
    </xsd:element>
    <xsd:element name="Description0" ma:index="2" nillable="true" ma:displayName="Description" ma:internalName="Description0">
      <xsd:simpleType>
        <xsd:restriction base="dms:Note">
          <xsd:maxLength value="255"/>
        </xsd:restriction>
      </xsd:simpleType>
    </xsd:element>
    <xsd:element name="Section" ma:index="3" nillable="true" ma:displayName="Section" ma:internalName="Section">
      <xsd:simpleType>
        <xsd:restriction base="dms:Text">
          <xsd:maxLength value="255"/>
        </xsd:restriction>
      </xsd:simpleType>
    </xsd:element>
    <xsd:element name="Category" ma:index="4" nillable="true" ma:displayName="Company" ma:internalName="Category">
      <xsd:simpleType>
        <xsd:restriction base="dms:Text">
          <xsd:maxLength value="255"/>
        </xsd:restriction>
      </xsd:simpleType>
    </xsd:element>
    <xsd:element name="Sub_x0020_Category" ma:index="5" nillable="true" ma:displayName="Regulator" ma:internalName="Sub_x0020_Category">
      <xsd:simpleType>
        <xsd:restriction base="dms:Text">
          <xsd:maxLength value="255"/>
        </xsd:restriction>
      </xsd:simpleType>
    </xsd:element>
    <xsd:element name="Flag" ma:index="6" nillable="true" ma:displayName="PubFlag" ma:default="1" ma:internalName="Flag">
      <xsd:simpleType>
        <xsd:restriction base="dms:Boolean"/>
      </xsd:simpleType>
    </xsd:element>
    <xsd:element name="Published_x0020_Date" ma:index="7" nillable="true" ma:displayName="PubDate" ma:default="[today]" ma:description="Publish Date" ma:format="DateOnly" ma:internalName="Published_x0020_Date">
      <xsd:simpleType>
        <xsd:restriction base="dms:DateTime"/>
      </xsd:simpleType>
    </xsd:element>
    <xsd:element name="Release_x0020_Date" ma:index="8" nillable="true" ma:displayName="ExpDate" ma:default="" ma:description="Expiration Date" ma:format="DateOnly" ma:internalName="Release_x0020_Date">
      <xsd:simpleType>
        <xsd:restriction base="dms:DateTime"/>
      </xsd:simpleType>
    </xsd:element>
    <xsd:element name="Sort_x0020_Order" ma:index="9" nillable="true" ma:displayName="SortOrder" ma:default="" ma:internalName="Sort_x0020_Order">
      <xsd:simpleType>
        <xsd:restriction base="dms:Text">
          <xsd:maxLength value="255"/>
        </xsd:restriction>
      </xsd:simpleType>
    </xsd:element>
    <xsd:element name="URL" ma:index="11" nillable="true" ma:displayName="URL" ma:format="Hyperlink"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d4ad44-94cf-4dd0-97c5-bf3ebb6654d5" elementFormDefault="qualified">
    <xsd:import namespace="http://schemas.microsoft.com/office/2006/documentManagement/types"/>
    <xsd:import namespace="http://schemas.microsoft.com/office/infopath/2007/PartnerControls"/>
    <xsd:element name="From" ma:index="18" nillable="true" ma:displayName="Origin" ma:internalName="From">
      <xsd:simpleType>
        <xsd:restriction base="dms:Text">
          <xsd:maxLength value="255"/>
        </xsd:restriction>
      </xsd:simpleType>
    </xsd:element>
    <xsd:element name="To" ma:index="19" nillable="true" ma:displayName="Destination" ma:internalName="To">
      <xsd:simpleType>
        <xsd:restriction base="dms:Text">
          <xsd:maxLength value="255"/>
        </xsd:restriction>
      </xsd:simpleType>
    </xsd:element>
    <xsd:element name="Product" ma:index="20" nillable="true" ma:displayName="Product" ma:internalName="Produ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8e62ef-2be9-43e1-a437-6582a0b6a63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itle xmlns="f55af35e-3808-4bc9-8be1-1a7711382ee3">Hiland Incentive Rate Tariff FERC 3.0.0 | Effective 4/15/26</Document_x0020_Title>
    <Section xmlns="f55af35e-3808-4bc9-8be1-1a7711382ee3">Tariffs</Section>
    <From xmlns="cdd4ad44-94cf-4dd0-97c5-bf3ebb6654d5">Roosevelt Gas Plant, McKenzie County, ND</From>
    <Release_x0020_Date xmlns="f55af35e-3808-4bc9-8be1-1a7711382ee3" xsi:nil="true"/>
    <Product xmlns="cdd4ad44-94cf-4dd0-97c5-bf3ebb6654d5">Natural Gas Liquids</Product>
    <Sub_x0020_Category xmlns="f55af35e-3808-4bc9-8be1-1a7711382ee3">  Pending</Sub_x0020_Category>
    <Sort_x0020_Order xmlns="f55af35e-3808-4bc9-8be1-1a7711382ee3">4</Sort_x0020_Order>
    <URL xmlns="f55af35e-3808-4bc9-8be1-1a7711382ee3">
      <Url xsi:nil="true"/>
      <Description xsi:nil="true"/>
    </URL>
    <Flag xmlns="f55af35e-3808-4bc9-8be1-1a7711382ee3">true</Flag>
    <To xmlns="cdd4ad44-94cf-4dd0-97c5-bf3ebb6654d5">Glendo, Platte County,, WY</To>
    <Description0 xmlns="f55af35e-3808-4bc9-8be1-1a7711382ee3" xsi:nil="true"/>
    <Category xmlns="f55af35e-3808-4bc9-8be1-1a7711382ee3">Hiland Express</Category>
    <Published_x0020_Date xmlns="f55af35e-3808-4bc9-8be1-1a7711382ee3">2026-03-12T05:00:00+00:00</Published_x0020_Date>
  </documentManagement>
</p:properties>
</file>

<file path=customXml/itemProps1.xml><?xml version="1.0" encoding="utf-8"?>
<ds:datastoreItem xmlns:ds="http://schemas.openxmlformats.org/officeDocument/2006/customXml" ds:itemID="{FFCA63D6-F995-4169-9D6A-D584F7655B51}"/>
</file>

<file path=customXml/itemProps2.xml><?xml version="1.0" encoding="utf-8"?>
<ds:datastoreItem xmlns:ds="http://schemas.openxmlformats.org/officeDocument/2006/customXml" ds:itemID="{1C18B260-0E90-4C81-B181-58C7415D0516}"/>
</file>

<file path=customXml/itemProps3.xml><?xml version="1.0" encoding="utf-8"?>
<ds:datastoreItem xmlns:ds="http://schemas.openxmlformats.org/officeDocument/2006/customXml" ds:itemID="{688CDB84-43B6-4C2A-A4EA-CB8BADF603E0}"/>
</file>

<file path=docProps/app.xml><?xml version="1.0" encoding="utf-8"?>
<Properties xmlns="http://schemas.openxmlformats.org/officeDocument/2006/extended-properties" xmlns:vt="http://schemas.openxmlformats.org/officeDocument/2006/docPropsVTypes">
  <Template>Normal.dotm</Template>
  <TotalTime>15</TotalTime>
  <Pages>2</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vt:lpstr>
    </vt:vector>
  </TitlesOfParts>
  <Company>Kinder Morgan</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c:title>
  <dc:creator>mizueie1</dc:creator>
  <cp:lastModifiedBy>Gomez, Herminia</cp:lastModifiedBy>
  <cp:revision>12</cp:revision>
  <cp:lastPrinted>2018-05-23T18:43:00Z</cp:lastPrinted>
  <dcterms:created xsi:type="dcterms:W3CDTF">2026-03-12T14:55:00Z</dcterms:created>
  <dcterms:modified xsi:type="dcterms:W3CDTF">2026-03-12T16:45:00Z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4924-2689-1927</vt:lpwstr>
  </property>
  <property fmtid="{D5CDD505-2E9C-101B-9397-08002B2CF9AE}" pid="3" name="ContentTypeId">
    <vt:lpwstr>0x0101006A58E2A84F4F994290EC6C41E6C7C32A</vt:lpwstr>
  </property>
</Properties>
</file>